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https://www.autoritedelaconcurrence.fr/fr/decision-de-controle-des-concentrations/relative-la-prise-de-controle-conjoint-de-la-societe-147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20-DCC-153 of November 17, 2020  </w:t>
        <w:br/>
        <w:t xml:space="preserve">regarding the joint control acquisition of the company Estemiran by the  </w:t>
        <w:br/>
        <w:t xml:space="preserve">companies Oriferni and ITM Entreprises  </w:t>
        <w:br/>
        <w:t xml:space="preserve">The Competition Authority,  </w:t>
        <w:br/>
        <w:t xml:space="preserve">Having regard to the complete notification file sent to the mergers department on October 21, 2020,  </w:t>
        <w:br/>
        <w:t xml:space="preserve">concerning the joint control acquisition of the company Estemiran by the company Oriferni and ITM  </w:t>
        <w:br/>
        <w:t xml:space="preserve">Entreprises, formalized by a share transfer agreement dated October 7,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provided by the notifying party during the investigation;  </w:t>
        <w:br/>
        <w:t xml:space="preserve">Adopts the following decision:  </w:t>
        <w:br/>
        <w:t xml:space="preserve">1. The notified operation consists of the joint control acquisition by the companies Oriferni and ITM  </w:t>
        <w:br/>
        <w:t xml:space="preserve">Entreprises of the company Estemiran, which operates a predominantly food retail outlet  </w:t>
        <w:br/>
        <w:t xml:space="preserve">of the hypermarket type, with an area of 2,835 m², under the Intermarché brand, located in Saint-  </w:t>
        <w:br/>
        <w:t xml:space="preserve">Estève (66). It constitutes a concentration operation within the meaning of Article L. 430-1 of the Commercial Code. Given the turnover achieved by the companies concerned,  </w:t>
        <w:br/>
        <w:t xml:space="preserve">the operation does not fall under the jurisdiction of the European Union. On the other hand, the thresholds for  </w:t>
        <w:br/>
        <w:t xml:space="preserve">control relating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20-214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