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11-DCC-168 of November 23, 2011  </w:t>
        <w:br/>
        <w:t xml:space="preserve">regarding the joint control acquisition of the company Landrise by the  </w:t>
        <w:br/>
        <w:t xml:space="preserve">company ITM Entreprise and the Bouyer consortium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2, 2011, concerning the joint control acquisition of the company Landrise by the company  </w:t>
        <w:br/>
        <w:t xml:space="preserve">ITM Entreprise and the Bouyer consortium materialized by draft statutes dated  </w:t>
        <w:br/>
        <w:t xml:space="preserve">October 26, 2011;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company ITM Entreprises and  </w:t>
        <w:br/>
        <w:t xml:space="preserve">the Bouyer consortium of the company Landrise operating a retail business primarily focused on food,  </w:t>
        <w:br/>
        <w:t xml:space="preserve">under the brand Intermarché, with a surface area of 2,892 m² and located in the city of Saint André de la Marche (49). It constitutes a concentration operation within the meaning of Article L. 430-1 of the Commercial Code. Given the turnover achieved by the companies concerned, the operation does not have a community dimension. However, the control thresholds related to retail trade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notified operation under number 11-0208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