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https://www.autoritedelaconcurrence.fr/fr/decision-de-controle-des-concentrations/relative-la-prise-de-controle-conjoint-de-la-societe-152</w:t>
      </w:r>
    </w:p>
    <w:p>
      <w:r>
        <w:t>Pages translated : 2</w:t>
      </w:r>
    </w:p>
    <w:p/>
    <w:p>
      <w:r>
        <w:rPr>
          <w:b/>
        </w:rPr>
        <w:t>[Pages 1–2]</w:t>
      </w:r>
    </w:p>
    <w:p>
      <w:r>
        <w:t xml:space="preserve">FRENCH REPUBLIC  </w:t>
        <w:br/>
        <w:t xml:space="preserve">Decision No. 21-DCC-48 of March 24, 2021  </w:t>
        <w:br/>
        <w:t xml:space="preserve">regarding the joint control acquisition of the company Grétour by the  </w:t>
        <w:br/>
        <w:t xml:space="preserve">companies La Micheline and ITM Entreprises  </w:t>
        <w:br/>
        <w:t xml:space="preserve">The Competition Authority,  </w:t>
        <w:br/>
        <w:t xml:space="preserve">Having regard to the complete notification file submitted to the mergers department on March 4, 2021,  </w:t>
        <w:br/>
        <w:t xml:space="preserve">concerning the joint control acquisition of the company Grétour by the companies La Micheline and ITM  </w:t>
        <w:br/>
        <w:t xml:space="preserve">Entreprises, formalized by a letter of intent dated January 13,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La Micheline and  </w:t>
        <w:br/>
        <w:t xml:space="preserve">ITM Entreprises of the company Grétour, which operates a business primarily focused on food of the hypermarket type under the brand "Intermarché" with a surface area of 2,576 m² located in Gretz-Armainvilliers (77). It constitutes a concentration operation within the meaning of Article L. 430-1 of the Commercial Code. Given the turnover achieved by the companies involved,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21-044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