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https://www.autoritedelaconcurrence.fr/fr/decision-de-controle-des-concentrations/relative-la-prise-de-controle-conjoint-de-la-societe-155</w:t>
      </w:r>
    </w:p>
    <w:p>
      <w:r>
        <w:t>Pages translated : 16</w:t>
      </w:r>
    </w:p>
    <w:p/>
    <w:p>
      <w:r>
        <w:rPr>
          <w:b/>
        </w:rPr>
        <w:t>[Pages 1–3]</w:t>
      </w:r>
    </w:p>
    <w:p>
      <w:r>
        <w:t xml:space="preserve">FRENCH REPUBLIC  </w:t>
        <w:br/>
        <w:t xml:space="preserve">Decision No. 21-DCC-60 of April 6, 2021  </w:t>
        <w:br/>
        <w:t xml:space="preserve">regarding the joint control of the Mixed Economy Company  </w:t>
        <w:br/>
        <w:t xml:space="preserve">for construction in the department of Ain by Action  </w:t>
        <w:br/>
        <w:t>Logement Immobilier, the company Adestia, and the department of Ain</w:t>
      </w:r>
    </w:p>
    <w:p>
      <w:r>
        <w:t xml:space="preserve">I. The concerned companies and the operation  </w:t>
        <w:br/>
        <w:t xml:space="preserve">1. The company Action Logement Immobilier is exclusively controlled by the Action Logement group. The latter manages the employers' contribution to the construction effort established in 1953, under Article L. 313-1 of the Construction and Housing Code (hereinafter the "CCH"). Action Logement's activities revolve around two main axes: (i) the construction and financing of social and intermediate housing, primarily in areas of high real estate pressure, and (ii) supporting employees in their residential and professional mobility by offering services or financial assistance for young workers, those in mobility, or those in difficulty. Currently, the Action Logement group manages over one million housing units, including 966,127 social housing units and 66,372 intermediate housing units.  </w:t>
        <w:br/>
        <w:t xml:space="preserve">2. The company Adestia is exclusively controlled by the Caisse des dépôts et consignations (hereinafter, the "CDC"), through its subsidiary CDC Habitat. The CDC is a public institution, governed by Articles L. 518-2 and following of the Monetary and Financial Code, which fulfills missions of general interest, supporting public policies conducted by the State and local authorities (deposits on savings accounts that finance social rental housing and urban renewal, regulated deposits and consignments, pensions, and social security treasuries). The CDC engages in activities open to competition, grouped around four poles: (i) the environment, (ii) real estate,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 CDC Habitat manages approximately 495,000 housing units (social and intermediate), including about 328,000 social housing units. Finally, the CDC also engages in financing social housing by granting loans to social landlords.  </w:t>
        <w:br/>
        <w:t>1 Authorized by Law No. 2016-719 of June 1, 2016, ratified by Article 102 of Law No. 2018-1021 of November 23, 2018, the government has streamlined the organization of the collection of the PEEC and has restructured the Action Logement network by Ordinance No. 2016-1408 of October 20, 2016, regarding the reorganization of the collection of the employers' contribution to the construction effort.</w:t>
      </w:r>
    </w:p>
    <w:p>
      <w:r>
        <w:t xml:space="preserve">3. The department of Ain is involved in the social housing sector through the Public Office for Housing in the department of Ain and the HLM cooperative Habitat. Prior to the operation, the department of Ain exclusively controlled the target.  </w:t>
        <w:br/>
        <w:t xml:space="preserve">4. The Mixed Economy Company for construction in the department of Ain (hereinafter, "SEMCODA") is exclusively controlled by the department of Ain, which holds 33.4% of its capital, the remainder of its capital being distributed at 32.30% among 210 municipalities and 34.20% among various shareholders outside local authorities, including Action Logement and the CDC at 17.08% and 6.67%, respectively. SEMCODA is active in the social rental sector and constructs, manages, and develops housing in 8 departments (Ain, Jura, Isère, Rhône, Saône et Loire, Haute Loire, Savoie, and Haute Savoie) and 573 municipalities. SEMCODA also engages in other activities, such as real estate promotion, property management, condominium management for the management of buildings sold in lots, land development for construction, and the construction and management of intergenerational residences. Marginally, it also builds student residences, professional premises, health or educational facilities, as well as gendarmeries.  </w:t>
        <w:br/>
        <w:t xml:space="preserve">5. Following the operation, the department of Ain will hold 32.64% of the target's capital, while the CDC and Action Logement will each hold 21.45%. The shareholders' agreement provides for [...]. Furthermore, the senior management of the target will consist of three general directors, individually appointed by the department of Ain, Action Logement, and the CDC.  </w:t>
        <w:br/>
        <w:t xml:space="preserve">6. The operation thus results in a transition from exclusive control, exercised by the department of Ain, to joint control, exercised by it alongside Action Logement and the CDC. This type of change in control is subject to particular scrutiny by the Competition Authority, which draws inspiration from the Austria Asphalt ruling of the Court of Justice of the European Union. According to this case law, such an operation constitutes a concentration as long as the target exhibits the characteristics of a full-function joint venture, which are outlined in paragraphs 63 and following of the Authority's guidelines on the control of concentrations.  </w:t>
        <w:br/>
        <w:t xml:space="preserve">7. In this case, SEMCODA has a lasting character, its statutes providing that it is constituted for 99 years. Moreover, the target fulfills all the functions of an autonomous economic entity in order to operate independently in the market. It indeed has financial and functional autonomy, employing its own staff. Furthermore, SEMCODA notably has its own real estate portfolio and resources allowing it to operate in the market autonomously, its activity going beyond a specific function of its parent companies.  </w:t>
        <w:br/>
        <w:t xml:space="preserve">8. It follows from all these elements that SEMCODA is a full-function joint venture. Thus, the notified operation constitutes a concentration within the meaning of Article L. 430-1 of the Commercial Code.  </w:t>
        <w:br/>
        <w:t xml:space="preserve">9. The concerned companies together achieve a total worldwide turnover of over 150 million euros (Action Logement Immobilier: ≥ 150 million euros for the fiscal year ending December 31, 2019; CDC: ≥ 150 million euros for the same fiscal year; department of Ain: ≥ 150 million euros for the same fiscal year). Each of these  </w:t>
        <w:br/>
        <w:t xml:space="preserve">2 The department of Ain is the only shareholder present in the capital of SEMCODA with a veto right over its strategic decisions. This veto right grants the department of Ain negative exclusive control over SEMCODA.  </w:t>
        <w:br/>
        <w:t xml:space="preserve">3 CJEU, September 7, 2017, Austria Asphalt, case C-248/16.  </w:t>
        <w:br/>
        <w:t>4 In accordance with paragraph 116 of the guidelines, the turnover generated by SEMCODA is entirely attributed to the department of Ain.</w:t>
      </w:r>
    </w:p>
    <w:p>
      <w:r>
        <w:t>companies achieves, in France, a turnover exceeding 50 million euros (Action Logement Immobilier: ≥ 50 million euros for the fiscal year ending December 31, 2019; CDC: ≥ 50 million euros for the same fiscal year; department of Ain: ≥ 50 million euros for the same fiscal year). The notification thresholds of Article 1 paragraph 3 of Regulation (EC) 139/2004 are therefore exceeded, but since each of the concerned companies achieves more than two-thirds of its turnover within the European Union in France,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10. The parties are simultaneously active in the real estate services market (A) and in the long-term accommodation market for autonomous and dependent elderly persons (B).</w:t>
      </w:r>
    </w:p>
    <w:p>
      <w:r>
        <w:rPr>
          <w:b/>
        </w:rPr>
        <w:t>[Pages 4–6]</w:t>
      </w:r>
    </w:p>
    <w:p>
      <w:r>
        <w:t xml:space="preserve">A. THE MARKETS FOR REAL ESTATE SERVICES  </w:t>
        <w:br/>
        <w:t xml:space="preserve">1. SERVICE MARKETS  </w:t>
        <w:br/>
        <w:t xml:space="preserve">11. National6 and European7 competition authorities have considered various segmentations in the real estate services sector based on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12. Regarding segmentation based on the nature of the services or goods offered, decision-making practice has considered, while leaving the question open, the distinction between:  </w:t>
        <w:br/>
        <w:t xml:space="preserve">- real estate promotion, which includes construction and sale activities of real estate;  </w:t>
        <w:br/>
        <w:t xml:space="preserve">- management of real estate assets for one's own account;  </w:t>
        <w:br/>
        <w:t xml:space="preserve">- management of real estate assets on behalf of third parties;  </w:t>
        <w:br/>
        <w:t xml:space="preserve">- administration of real estate, which encompasses the management activities of properties on behalf of owners and can be segmented between rental management and co-ownership management;  </w:t>
        <w:br/>
        <w:t xml:space="preserve">- real estate appraisal;  </w:t>
        <w:br/>
        <w:t xml:space="preserve">- real estate consulting;  </w:t>
        <w:br/>
        <w:t xml:space="preserve">- intermediation in real estate transactions, within which a distinction can be made between the sale and rental of properties8.  </w:t>
        <w:br/>
        <w:t xml:space="preserve">13. Within the management of residential real estate assets for one's own account, the Minister of Economy has considered it appropriate to distinguish "the management of social housing, insofar as this activity operates within a specific regulatory framework, through which the State plays an important role, both in terms of financial aid and allocation of housing"9. This distinction remains relevant.  </w:t>
        <w:br/>
        <w:t xml:space="preserve">14. Indeed, the management of the social rental stock is regulated by the State through agreements concluded with social housing organizations10 (known as "APL agreements"). Companies, classified as social housing organizations (OLS), are subject to the control of the National Agency for the Control of Social Housing (ANCOLS)11. In France, social landlords (or "HLM organizations") are divided into three categories: (i) public housing offices (OPH) created and managed by local authorities (municipalities, intermunicipalities, departments)12, (ii) social housing companies (ESH) of private non-profit law13, some of which belong to the Action Logement group, and (iii) cooperatives for moderate rent housing14.  </w:t>
        <w:br/>
        <w:t xml:space="preserve">15. The main characteristic of the social rental stock is to offer targeted populations, subject to resource conditions15, housing at rents significantly lower than those practiced in the private rental stock16, with allocation decided by an allocation commission.  </w:t>
        <w:br/>
        <w:t xml:space="preserve">16. The Minister of Economy has also considered distinguishing social housing from intermediate rental housing on the grounds that "intermediate rental housing presents economic characteristics comparable to those of social housing, the main difference being the absence of regulations imposing income ceilings or rent limitations. Such constraints do exist, but they result from "reservation agreements" often concluded for long durations, ranging from 9 to 15 years, with reservists (local or national public administrations, national companies), for the benefit of their officials or permanent agents."17 This distinction remains valid.  </w:t>
        <w:br/>
        <w:t xml:space="preserve">17. Furthermore, regarding the market for residential real estate promotion, decision-making practice18 has considered distinguishing residential real estate promotion from real estate promotion for business premises.  </w:t>
        <w:br/>
        <w:t xml:space="preserve">18. However, the question of the exact delimitation of the product markets concerned by the operation may be left open, as the conclusions of the competitive analysis remain unchanged, regardless of the segmentation adopted.  </w:t>
        <w:br/>
        <w:t xml:space="preserve">19. In this case, the purchasers and the target are simultaneously present in the market for the ownership and management for one's own account of social housing. SEMCODA, CDC, and Action Logement are also simultaneously present in the market for the ownership and management for one's own account of real estate assets intended for accommodation for the elderly and in the market for real estate promotion. SEMCODA and CDC are also simultaneously present in the market for the ownership and management for one's own account of free residential housing, the market for the ownership and management for one's own account of offices, and the market for the ownership and management for one's own account of commercial premises.  </w:t>
        <w:br/>
        <w:t xml:space="preserve">11 See Articles L. 342-1 to L. 342-21 of the CCH.  </w:t>
        <w:br/>
        <w:t xml:space="preserve">12 See Articles L. 421-1 to L. 421-26 of the CCH.  </w:t>
        <w:br/>
        <w:t xml:space="preserve">13 These are the former public limited companies for moderate rent housing (SAHLM); see Articles L. 421-2 to L. 421-2-1 of the Construction and Housing Code.  </w:t>
        <w:br/>
        <w:t xml:space="preserve">14 See Articles L. 422-3 to L. 422-3-2 of the CCH.  </w:t>
        <w:br/>
        <w:t xml:space="preserve">15 Article R. 331-12 of the CCH makes the allocation of grants and loans for social construction conditional on the occupation of social housing by individuals whose total resources, at the time of entry into the premises, are below ceilings set each year by ministerial decree.  </w:t>
        <w:br/>
        <w:t xml:space="preserve">16 On average, rents in the social stock are half those in the private stock.  </w:t>
        <w:br/>
        <w:t xml:space="preserve">17 C2006-151 / Letter from the Minister of Economy, Finance, and Industry dated January 10, 2007, to the board of the Société Nationale Immobilière group, regarding a concentration in the sector of development and management of real estate primarily intended for residential use, BOCCRF No. 3bis of March 23, 2007.  </w:t>
        <w:br/>
        <w:t xml:space="preserve">18 See the decision of the Competition Authority No. 11-DCC-138 of September 30, 2011, regarding the exclusive control by Altarea of Urbat Promotion.  </w:t>
        <w:br/>
        <w:t xml:space="preserve">2. GEOGRAPHIC MARKETS  </w:t>
        <w:br/>
        <w:t xml:space="preserve">20. According to the aforementioned decision-making practice, markets related to the real estate sector are generally local in scope, taking into account, in particular, the differences between regions and regional metropolises in terms of prices and demand in real estate.  </w:t>
        <w:br/>
        <w:t xml:space="preserve">21. In this case, the activities of the purchasers and the target overlap in the Auvergne-Rhône-Alpes and Bourgogne-Franche-Comté regions, particularly in the departments of Ain (01), Isère (38), Jura (39), Rhône (69), Saône-et-Loire (71), Savoie (73), and Haute-Savoie (73).  </w:t>
        <w:br/>
        <w:t xml:space="preserve">22. For regions outside Île-de-France, competition authorities have conducted their competitive analyses at the regional or sub-regional level19. In its recent decisions, the Authority has examined the effects of operations at the level of agglomerations20. For the departments in which the parties are simultaneously active, the respondents to the market test have, in their majority, confirmed the relevance of a delimitation at the level of the agglomeration, regarding the market for the management for one's own account of social housing.  </w:t>
        <w:br/>
        <w:t xml:space="preserve">23. The question of the exact delimitation of the geographic markets concerned by the operation may, however, be left open as the conclusions of the competitive analysis remain unchanged, regardless of the segmentation adopted.  </w:t>
        <w:br/>
        <w:t xml:space="preserve">24. In this case, analyses will be conducted at the regional, departmental, and agglomeration levels.  </w:t>
        <w:br/>
        <w:t xml:space="preserve">B. THE MARKET FOR LONG-TERM ACCOMMODATION FOR THE ELDERLY  </w:t>
        <w:br/>
        <w:t xml:space="preserve">1. SERVICE MARKET  </w:t>
        <w:br/>
        <w:t xml:space="preserve">25. Decision-making practice considers that the market for long-term accommodation for the elderly, distinct from the market for the management of buildings intended for the accommodation of the elderly21, includes (i) nursing homes (EHPAD), (ii) housing facilities or service residences that are groups of permanent autonomous housing, in rooms or apartments, which offer optional collective equipment and services, with elderly individuals being owners or tenants of their housing, and (iii) long-term care units ("USLD") which are medicalized structures intended for the permanent care of very dependent individuals22.  </w:t>
        <w:br/>
        <w:t xml:space="preserve">19 See, for example, the decisions of the Competition Authority No. 20-DCC-88 and No. 19-DCC-204 mentioned above and decision No. 14-DCC-166 of November 13, 2014, regarding the exclusive control by Klépierre SA of Corio NV.  </w:t>
        <w:br/>
        <w:t xml:space="preserve">20 See, for example, decisions No. 20-DCC-88 of July 23, 2020, regarding the merger of three social landlords active in the Hauts-de-France region and No. 20-DCC-84 of July 17, 2020, regarding the exclusive control of SODIAC by CDC Habitat.  </w:t>
        <w:br/>
        <w:t xml:space="preserve">21 Decision No. 19-DCC-32 of the Competition Authority of February 25, 2019, regarding the creation of a joint venture by the VYV and Habitat Développement groups.  </w:t>
        <w:br/>
        <w:t>22 See the decisions of the Competition Authority No. 20-DCC-182 of December 9, 2020, regarding the exclusive control of the Inicea group by Korian, No. 20-DCC-114 of August 28, 2020, regarding the exclusive control of the Arpavie association by the Caisse des dépôts et consignations, No. 19-DCC-32 of February 25, 2019, regarding the creation of a joint venture by the VYV and Habitat Développement groups, No. 16-DCC-38 of March 10, 2016, regarding the creation of ARPAVIE by the merger-absorption of the Association of Residences for Elderly Persons, the Residences and Home Association, and the Association of Residences for Dependent Elderly Persons, No. 14-DCC-132 of September 15 regarding the exclusive control of Colisée by the Eurazeo group, No. 14-DCC-22 of February 21, 2014, regarding the merger-absorption of Médica by Korian, No. 10-DCC-179 of December 13, 2010, regarding the exclusive control.</w:t>
      </w:r>
    </w:p>
    <w:p>
      <w:r>
        <w:rPr>
          <w:b/>
        </w:rPr>
        <w:t>[Pages 7–9]</w:t>
      </w:r>
    </w:p>
    <w:p>
      <w:r>
        <w:t xml:space="preserve">26. The decision-making practice has determined that it is not relevant to segment this market based on the legal status of the establishment or according to the financial contribution required from the elderly person.  </w:t>
        <w:br/>
        <w:t xml:space="preserve">27. On the other hand, the question of a distinct market for USLD (Unité de Soins de Longue Durée) has been examined23, insofar as these care units do not exclusively cater to elderly individuals (although they predominantly accommodate individuals over 65 years old) and are intended for persons requiring medical follow-up. However, this question has been left open.  </w:t>
        <w:br/>
        <w:t xml:space="preserve">28. It has been considered to segment the long-term accommodation market for elderly persons into (i) EHPAD (Établissements d'Hébergement pour Personnes Âgées Dépendantes), (ii) autonomous residences, and (iii) serviced residences for seniors (hereinafter "RSS"), due to the difference in the level of autonomy of the residents24.  </w:t>
        <w:br/>
        <w:t xml:space="preserve">29. In this case, the question of the precise delineation of the market can nevertheless be left open, as the conclusions of the competitive analysis remain unchanged, regardless of the hypothesis adopted.  </w:t>
        <w:br/>
        <w:t xml:space="preserve">30. Action Logement, the CDC, and SEMCODA are simultaneously active in the long-term accommodation market for elderly persons.  </w:t>
        <w:br/>
        <w:t xml:space="preserve">2. GEOGRAPHIC MARKET  </w:t>
        <w:br/>
        <w:t xml:space="preserve">31. Regarding the geographical delineation of the long-term accommodation market for elderly persons, the decision-making practice has determined that for the entire territory outside the Paris region, there exist markets of departmental dimension, with the criterion for choosing the establishment being its proximity to the home of the elderly person or the family reference25. For the Paris region, consideration of the entire region has been contemplated.  </w:t>
        <w:br/>
        <w:t xml:space="preserve">32. The question of the exact definition of the relevant geographical market can, however, be left open, as, regardless of the delineation adopted, the conclusions of the competitive analysis remain unchanged.  </w:t>
        <w:br/>
        <w:t xml:space="preserve">33. In this case, the activities of Action Logement, the CDC, and SEMCODA only overlap in the Rhône department (69), where the analysis will be conducted.  </w:t>
        <w:br/>
        <w:t xml:space="preserve">III. Competitive Analysis  </w:t>
        <w:br/>
        <w:t xml:space="preserve">A. ANALYSIS OF HORIZONTAL EFFECTS  </w:t>
        <w:br/>
        <w:t xml:space="preserve">1. MARKET FOR REAL ESTATE SERVICES  </w:t>
        <w:br/>
        <w:t xml:space="preserve">a) The market for the ownership and management for one's own account of housing for social use  </w:t>
        <w:br/>
        <w:t xml:space="preserve">34. The cumulative market share of the Ain department and the target exceeds 25%, with an addition of market share greater than 2 points, in 16 areas26.  </w:t>
        <w:br/>
        <w:t xml:space="preserve">35. However, it should be noted that prior to the operation, the target was exclusively controlled by the Ain department. The operation is therefore not likely to change the incentives of the Ain department to degrade its offer or that of the target, within the framework of a unilateral strategy.  </w:t>
        <w:br/>
        <w:t xml:space="preserve">36. Under these conditions, the Authority considers that the operation does not have the specific effect of strengthening the capacity or incentive of the Ain department to implement a unilateral strategy.  </w:t>
        <w:br/>
        <w:t xml:space="preserve">37. Following the operation, the cumulative market share of the CDC and the target will be greater than 25%, but systematically less than 50%, with an addition of market share greater than 2 points, in four areas: the community of communes of Côtière à Montluel (01), the community of communes between Saône and Grosne (71), the community of communes (CC) Saône Doubs Bresse (71), and the community of communes of Terres de Bresse (71).  </w:t>
        <w:br/>
        <w:t xml:space="preserve">38. In these areas, the CDC will continue to face pressure from competing social housing operators, whose offer represents credible and sufficient alternatives for housing applicants compared to that of the CDC, so that any horizontal competition issue can be ruled out.  </w:t>
        <w:br/>
        <w:t xml:space="preserve">39. Following the operation, the cumulative market share of Action Logement and SEMCODA will exceed 25% in 26 areas27, with an addition of market share greater than 2 points. In 21 of these areas, the cumulative market share of the parties is between 25% and 50%. In these areas, Action Logement will continue to face competitive pressure from competing social housing operators, whose offer represents credible and sufficient alternatives for housing applicants compared to that of Action Logement, so that any horizontal competition issue can be ruled out.  </w:t>
        <w:br/>
        <w:t xml:space="preserve">40. In 5 areas, the cumulative market share of Action Logement and the target exceeds 50%:  </w:t>
        <w:br/>
        <w:t xml:space="preserve">26 These are the Ain department (01) and the following local areas, all located in this department: Haut-Bugey Agglomération, CC Rives de l'Ain Pays du Cerdon, CC Bugey Sud, CC du Pays Bellegardien, CC de la Plaine de l'Ain, CC de la Dombes, CC Dombes-Saône Vallée, CC de Miribel et du Plateau, CA du Pays de Gex, CC de la Côtière à Montluel, CC de la Veyle, CC Bresse et Saône, CC Val de Saône Centre, CA du Bassin de Bourg-en-Bresse, and CC Usses et Rhône.  </w:t>
        <w:br/>
        <w:t xml:space="preserve">27 These are the departments of Isère (38), Rhône (69), and the following local areas: CC de la Veyle (01), CC de Miribel et du Plateau (01), CC de la Dombes (01), CC Dombes-Saône Vallée (01), CA Porte de l'Isère (38), CC de Bièvre Est (38), CC de l'Oisans (38), CC des Collines du Nord Dauphiné (38), CC du Pays de Grésivaudan (38), CC Les Balcons du Dauphiné (38), CC Beaujolais Pierres Dorées (69), CC de l'Est Lyonnais (69), CC des Vallons du Lyonnais (69), CC du Pays de l'Arbresle (69), CC du Pays de l'Ozon (69), CC du Pays Mornantais (69), Métropole de Lyon (69), CA Villefranche Beaujolais Saône (69), CA Le Grand Chalon (71), CC du Sud de la Côte Chalonnaise (71), CC entre Saône et Grosne (71), CC Saône Doubs Bresse (71), and CC Terres de Bresse (71).  </w:t>
        <w:br/>
        <w:t xml:space="preserve">41. Given these high levels of market share, which, as highlighted in paragraph 622 of the Authority's guidelines, may suggest the possession of significant market power, it is appropriate to assess the effects of the operation particularly in light of the economic and regulatory characteristics of the concerned markets.  </w:t>
        <w:br/>
        <w:t xml:space="preserve">On the regulatory framework applicable to social housing organizations  </w:t>
        <w:br/>
        <w:t xml:space="preserve">42. The decision-making practice of the Authority28 has, on several occasions, detailed the regulatory framework applicable to social housing organizations.  </w:t>
        <w:br/>
        <w:t xml:space="preserve">43. Firstly, the allocation of social housing by landlords is governed by a body of rules whose compliance is ensured by oversight from public authorities, which prohibits landlords from selecting tenants in a discriminatory manner, regardless of the competitive position of the social landlord in the relevant market. Under these conditions, the operation is not likely to produce effects on the choice of tenants by the parties to the operation.  </w:t>
        <w:br/>
        <w:t xml:space="preserve">44. Secondly, rents are set by rent control agreements (hereinafter "APL agreements") that are concluded between the State and social landlords, on a case-by-case basis. They are governed by Article L. 351-2 of the Construction and Housing Code. These agreements set, in particular, the ceiling rents revised each year on January 1 based on the Rent Reference Index of the second quarter of the previous year. The maximum values of the ceiling rents are set each year. They are differentiated by territory based on the pressure in these territories and by social housing type. The ceiling rents of APL agreements are subject to modulation based on, in particular, the average size of the housing units, the quality of service, and energy performance. The APL agreements therefore constitute a framework that strictly determines the ceiling rent levels of the concerned housing units.  </w:t>
        <w:br/>
        <w:t xml:space="preserve">45. Rents cannot thus exceed the amounts set by this legal and regulatory framework. However, they may be below these amounts. The ministry in charge of housing has indicated that it is quite regularly observed that social landlords set their rents below the ceilings.  </w:t>
        <w:br/>
        <w:t>46. Thirdly, regarding the quality of the social housing service provided by the landlord, the social utility agreements (hereinafter "CUS") concluded between the State and landlords provide for quality indicators that focus on production, renovation, management efficiency, and housing allocation axes, in order to meet housing objectives for the most disadvantaged and social mix. Moreover, in Chapter</w:t>
      </w:r>
    </w:p>
    <w:p>
      <w:r>
        <w:rPr>
          <w:b/>
        </w:rPr>
        <w:t>[Pages 10–12]</w:t>
      </w:r>
    </w:p>
    <w:p>
      <w:r>
        <w:t xml:space="preserve">social mixity. Furthermore, in the chapter  </w:t>
        <w:br/>
        <w:t xml:space="preserve">mandatory elements of the CUS, there are elements related to the quality of rental management and tenant services. These commitments particularly concern the process for handling tenant complaints, the existence and frequency of a satisfaction survey among tenants, as well as the certification or labeling systems regarding service quality obtained by the organization. They also include data on the number of housing units accessible to persons with reduced mobility in the concerned stock or on the number of rehabilitated housing units renovated to meet the required energy performance standards.  </w:t>
        <w:br/>
        <w:t xml:space="preserve">47. Compliance with the entire constrained framework just described, regarding rents and the quality of social housing services, is ensured by public authorities, particularly the State, which ensures that social landlords comply with the regulatory and legislative provisions applicable to them, both in terms of asset management and for housing allocations and rental management. When discrepancies are observed, after a contradictory procedure and upon the proposal of the board of directors, administrative sanctions29 may be proposed by the National Agency for the Control of Social Housing to the minister responsible for housing.  </w:t>
        <w:br/>
        <w:t xml:space="preserve">48. These various elements are therefore likely to compel the parties, once the operation is completed, to maintain a certain standard of quality in the offer provided to tenants. However, both regarding the level of rents and the quality of services offered to tenants, the applicable regulatory framework sets a reference standard. It is therefore permissible for operators to set rents for housing at a level below the ceiling or to offer enhanced services compared to the quality standard resulting from the CUS, particularly under the influence of competitive pressure from rival operators.  </w:t>
        <w:br/>
        <w:t xml:space="preserve">49. Given this situation, the Authority believes that the regulatory framework applicable to the social housing sector is not, by itself, sufficient to eliminate any risk of anti-competitive effects related to the operation.  </w:t>
        <w:br/>
        <w:t xml:space="preserve">The limited effects of competitive dynamics due to reduced consumer choice in tight areas  </w:t>
        <w:br/>
        <w:t xml:space="preserve">50. Given the specificity of the mechanism for allocating social housing, the Competition Authority also questioned the ability of prospective tenants to arbitrate between the offers of social landlords. Indeed, in the absence of such an ability to arbitrate, the market structure would not have any consequence on the incentive for social landlords to improve their offer in terms of quality and, to some extent, price, and the operation would therefore not have any effect on the concerned market.  </w:t>
        <w:br/>
        <w:t xml:space="preserve">51. However, as previously explained, applicants for social housing submit their housing requests through the national registration system (hereinafter, "SNE"), which consolidates all social housing applicants within a single file.  </w:t>
        <w:br/>
        <w:t xml:space="preserve">52. The Ministry of Housing described the functioning of the SNE as follows: "Each request is followed by events that are recorded electronically by shared management and accessible to all landlords. [In principle], if a landlord has offered a housing unit, this will be recorded as an event in the system, and another landlord will not practically offer another housing unit at the same time." However, the Authority has already noted that a candidate for social housing may find themselves in an arbitration situation if several landlords offer housing to the same candidate from the SNE file30.  </w:t>
        <w:br/>
        <w:t xml:space="preserve">29 Sanctions may be financial or personal. They may extend to the withdrawal of the organization's approval.  </w:t>
        <w:br/>
        <w:t xml:space="preserve">30 See, in this sense, decisions n° 20-DCC-88 and n° 20-DCC-84 mentioned above.  </w:t>
        <w:br/>
        <w:t xml:space="preserve">53. The Authority noted that such a scenario is unlikely in particularly "tight" areas, characterized by a significant imbalance between the volume of available supply and demand. Conversely, such an arbitration situation cannot be excluded in "non-tight" areas, especially since the refusal of housing following an offer from a social landlord does not necessarily have consequences for future housing allocations.  </w:t>
        <w:br/>
        <w:t xml:space="preserve">54. To determine whether the areas concerned by the operation exhibited the characteristics of "tight" areas, the notifying parties relied on the classification resulting from the so-called "Pinel" law31, considering as "tight" the municipalities classified under said law in zones A and B1 and as "non-tight" the municipalities classified in zones B2 and C. However, it appears from the responses to the market test conducted during the investigation that this criterion would be less relevant than the vacancy rate of social housing present in the areas. In particular, a vacancy rate of social housing below 4% would be an indicator of a deficit of social housing relative to demand, and thus, of a significant imbalance between it and the volume of available supply. Therefore, the analysis was conducted based on these vacancy rates.  </w:t>
        <w:br/>
        <w:t xml:space="preserve">55. In the CC areas of the Collines du Nord Dauphiné and CC between Saône and Grosne, the vacancy rate of the parties' housing does not exceed 4%, with the vacancy rate of more than three months not exceeding 2.5%.  </w:t>
        <w:br/>
        <w:t xml:space="preserve">56. In the community of agglomerations of Villefranche Beaujolais Saône, the vacancy rate of Action Logement and SEMCODA housing is below 5%. If this rate reaches 8% for CDC housing, the vacancy rate of more than three months is 4%, indicating a low volume of unallocated supply.  </w:t>
        <w:br/>
        <w:t xml:space="preserve">57. In the CC area of the Pays de l'Ozon, the vacancy rate of SEMCODA housing does not exceed 0.5%. It stands at 6% for housing managed by Action Logement, but none of these housing units remain vacant for more than three months.  </w:t>
        <w:br/>
        <w:t xml:space="preserve">58. The elements developed above reflect a situation of significant imbalance between the supply of social housing and demand in these areas, which can be classified as "tight" areas. As a result, in these areas, the arbitration of social housing applicants is limited by the low volume of available supply. The change in market structure after the operation will not have any specific consequence on Action Logement's incentives to modify the conditions of its housing offer in light of the disappearance of the competitive pressure exerted on it by the target's offer.  </w:t>
        <w:br/>
        <w:t xml:space="preserve">59. Only the vacancy rates of the parties' housing located in the CC area of Oisans suggest that it presents a more balanced supply volume relative to demand. Indeed, while this vacancy rate is zero for SEMCODA, the housing held by Action Logement has a current vacancy rate of 8.54% and a vacancy rate of more than three months of 7.3%.  </w:t>
        <w:br/>
        <w:t xml:space="preserve">60. However, the majority of respondents to the market test indicated that, in "non-tight" areas, it is common for a social housing applicant to turn to the private rental market if their social housing request does not succeed and if the social housing no longer meets the tenant's needs. These elements thus highlight the competitive pressure exerted by the private rental market on the social housing stock in non-tight areas32.  </w:t>
        <w:br/>
        <w:t xml:space="preserve">31 LAW n° 2014-1654 of December 29, 2014, on finances for 2015.  </w:t>
        <w:br/>
        <w:t xml:space="preserve">32 See, in this sense, decisions n° 20-DCC-88 and n° 20-DCC-84 mentioned above.  </w:t>
        <w:br/>
        <w:t xml:space="preserve">61. Thus, in this case, in the CC area of Oisans, Action Logement will face competitive pressure exerted, on the one hand, by competing social landlords remaining in the market (representing [40-50]% market share) and, on the other hand, by the private rental market. This competitive pressure is therefore capable of disciplining Action Logement's behavior in the area and encouraging it to maintain its social housing offer at a competitive level.  </w:t>
        <w:br/>
        <w:t xml:space="preserve">62. It follows from all of the above that the notified operation is not likely to harm competition through horizontal effects in the market for the ownership and management for one's own account of housing for social use.  </w:t>
        <w:br/>
        <w:t xml:space="preserve">b) The market for the ownership and management for one's own account of real estate assets intended for housing for the elderly  </w:t>
        <w:br/>
        <w:t xml:space="preserve">63. In this market, the operation leads to an overlap between the activities of SEMCODA, CDC, and Action Logement.  </w:t>
        <w:br/>
        <w:t xml:space="preserve">64. However, according to the estimates of the notifying parties, the cumulative market share of the acquirers and the target does not exceed 15%, regardless of the delimitation retained.  </w:t>
        <w:br/>
        <w:t xml:space="preserve">65. Consequently, any risk of harm to competition through horizontal effects in the market for the ownership and management for one's own account of real estate assets intended for housing for the elderly can be ruled out.  </w:t>
        <w:br/>
        <w:t xml:space="preserve">c) The market for residential real estate development  </w:t>
        <w:br/>
        <w:t xml:space="preserve">66. In the market for residential real estate development, the operation leads to an overlap between the activities of SEMCODA, CDC, and Action Logement.  </w:t>
        <w:br/>
        <w:t xml:space="preserve">67. However, according to the estimates of the notifying parties, the cumulative market share of the acquirers and the target does not exceed 20%, regardless of the delimitation retained.  </w:t>
        <w:br/>
        <w:t xml:space="preserve">68. Consequently, any risk of harm to competition through horizontal effects in the market for real estate development can be ruled out.  </w:t>
        <w:br/>
        <w:t xml:space="preserve">d) The market for the ownership and management for one's own account of free residential housing  </w:t>
        <w:br/>
        <w:t xml:space="preserve">69. In this market, the operation leads to an overlap between the activities of SEMCODA and CDC.  </w:t>
        <w:br/>
        <w:t xml:space="preserve">70. However, according to the estimates of the notifying parties, the cumulative market share of CDC and the target does not exceed 10%, regardless of the delimitation retained.  </w:t>
        <w:br/>
        <w:t xml:space="preserve">71. Consequently, any risk of harm to competition through horizontal effects in the market for the ownership and management for one's own account of free residential housing can be ruled out.  </w:t>
        <w:br/>
        <w:t xml:space="preserve">e) The market for the ownership and management for one's own account of offices  </w:t>
        <w:br/>
        <w:t xml:space="preserve">72. In this market, the operation leads to an overlap between the activities of SEMCODA and CDC at the national level, in the Auvergne Rhône Alpes and Bourgogne Franche-Comté regions and in the departments of Isère, Rhône, and Haute-Savoie.  </w:t>
        <w:br/>
        <w:t>73. However, according to the estimates of the notifying parties, the cumulative market share of CDC and the target does not exceed 15% across all geographical delimitations.</w:t>
      </w:r>
    </w:p>
    <w:p>
      <w:r>
        <w:rPr>
          <w:b/>
        </w:rPr>
        <w:t>[Pages 13–15]</w:t>
      </w:r>
    </w:p>
    <w:p>
      <w:r>
        <w:t xml:space="preserve">74. Consequently, any risk of harm to competition through horizontal effects in the market for the ownership and management for one's own account of offices can be ruled out.  </w:t>
        <w:br/>
        <w:t xml:space="preserve">f) The market for the ownership and management for one's own account of commercial premises  </w:t>
        <w:br/>
        <w:t xml:space="preserve">75. In this market, the operation leads to an overlap between the activities of SEMCODA and CDC on the national territory, in the Auvergne-Rhône-Alpes and Bourgogne-Franche-Comté regions and in the departments of Ain, Isère, Rhône, Haute-Savoie, and Saône-et-Loire.  </w:t>
        <w:br/>
        <w:t xml:space="preserve">76. However, according to the estimates of the notifying parties, the cumulative market share of CDC and the target does not exceed 5%, regardless of the delimitation chosen.  </w:t>
        <w:br/>
        <w:t xml:space="preserve">77. Any risk of horizontal effects in the market for the ownership and management for one's own account of commercial premises can be ruled out.  </w:t>
        <w:br/>
        <w:t xml:space="preserve">2. MARKET FOR LONG-TERM HOUSING FOR THE ELDERLY  </w:t>
        <w:br/>
        <w:t xml:space="preserve">78. In this market, the operation leads to an overlap of activities between SEMCODA, CDC, and Action Logement only in the Rhône department. However, the cumulative market share of the purchasers and the target does not exceed 3%.  </w:t>
        <w:br/>
        <w:t xml:space="preserve">79. Thus, the notified operation is not likely to harm competition through horizontal effects in the market for long-term housing for the elderly.  </w:t>
        <w:br/>
        <w:t xml:space="preserve">B. ANALYSIS OF VERTICAL EFFECTS  </w:t>
        <w:br/>
        <w:t xml:space="preserve">80.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81. In this case, CDC engages in financing social housing, which is upstream of the market for the management for one's own account of social housing, where all parties are active (1). Furthermore, both CDC and SEMCODA are active in the market for the ownership and management for one's own account of real estate assets intended for housing for the elderly, which is upstream of the market for long-term housing for the elderly, where CDC, Action Logement, and SEMCODA are active (2).  </w:t>
        <w:br/>
        <w:t xml:space="preserve">82. The decision-making practice generally considers that a risk of harm to competition through vertical effects can be ruled out, provided that the market shares of the company resulting from the operation in the concerned markets do not exceed 30%33.  </w:t>
        <w:br/>
        <w:t xml:space="preserve">1. THE ACTIVITY OF FINANCING SOCIAL HOUSING  </w:t>
        <w:br/>
        <w:t xml:space="preserve">83. CDC engages in financing activities for public interest investments and investments in national and local public policies. It thus grants long-term loans to social landlords for social housing.  </w:t>
        <w:br/>
        <w:t xml:space="preserve">33 See, in this sense, paragraph 678 of the guidelines.  </w:t>
        <w:br/>
        <w:t xml:space="preserve">84. The Competition Authority has determined that the activity of financing social housing entrusted by the State to CDC does not constitute a market activity34. As such, this activity is not a market concerned by the notified operation.  </w:t>
        <w:br/>
        <w:t xml:space="preserve">85. However, since the activity of financing social housing is located upstream of a competitive market, it is necessary to analyze the risks resulting from CDC's acquisition of control over SEMCODA downstream, in the markets for the management for one's own account of residential buildings for social use.  </w:t>
        <w:br/>
        <w:t xml:space="preserve">86. In this case, it is necessary to determine whether CDC could refuse to finance the social housing landlords that compete with SEMCODA, or at least make their access to credit more difficult.  </w:t>
        <w:br/>
        <w:t xml:space="preserve">87. Nevertheless, the risk of excluding competitors in the local markets for the management for one's own account of residential buildings for social use can be excluded. Indeed, CDC grants loans to social landlords whose guiding principles are framed by regulatory provisions of the Construction and Housing Code. These loans are offered to landlords under identical financial conditions throughout the territory and without discrimination between borrowers.  </w:t>
        <w:br/>
        <w:t xml:space="preserve">88. Regarding the conditions of these loans (and their rates in particular), CDC is required to grant long-term loans under identical conditions throughout the territory. The loan rates are notably indexed to the rate of the resource from which they are financed, in order to achieve a match between the revenues from these loans and the cost of the resource used. The conditions of the loans are thus subject to a set of regulatory provisions that ensure that, in granting loans from the Savings Fund, CDC does not discriminate between borrowers and that they are treated equally, regardless of their geographical situation or status.  </w:t>
        <w:br/>
        <w:t xml:space="preserve">89. Regarding discrimination, any social landlord that meets the approval conditions and obtains approval from the State is eligible for these regulated loans35 from CDC or, for certain types of financing, from a credit institution that has signed a refinancing agreement36. Since CDC does not grant this approval, it cannot favor one social landlord over another.  </w:t>
        <w:br/>
        <w:t xml:space="preserve">90. Given the above, the operation is not likely to harm competition through vertical effects between the activity of financing social housing and that of managing residential buildings for social use.  </w:t>
        <w:br/>
        <w:t xml:space="preserve">2. ON ACTIVITIES RELATED TO HOUSING FOR THE ELDERLY  </w:t>
        <w:br/>
        <w:t xml:space="preserve">91. Both CDC and SEMCODA are active in the market for the ownership and management for one's own account of real estate assets intended for housing for the elderly, which is upstream of the market for long-term housing for the elderly, where CDC, Action Logement, and SEMCODA are active.  </w:t>
        <w:br/>
        <w:t xml:space="preserve">92. Upstream, CDC could decide to reserve the real estate assets held by the target for its own long-term housing activities for the elderly (input lock-in). Downstream, CDC and Action Logement could decide, for their long-term housing activities for the elderly, not to engage with the competitors of the target in the upstream market for asset management (customer lock-in).  </w:t>
        <w:br/>
        <w:t xml:space="preserve">93. However, without needing to further examine the capacity and incentives of the parties to implement such lock-in strategies, any risk of harm to competition through vertical effects can be ruled out, as the estimates of the notifying parties indicate that the market shares of the parties do not exceed 15% both upstream and downstream.  </w:t>
        <w:br/>
        <w:t xml:space="preserve">C. ANALYSIS OF COORDINATED EFFECTS  </w:t>
        <w:br/>
        <w:t xml:space="preserve">94. The operation consisting of the creation of a full-function joint venture, through the joint acquisition of control over the target by the Ain department, CDC, and Action Logement, and considering the strong positions held by the parties in several local markets for the management for one's own account of social housing, it is necessary to examine to what extent the operation may lead to coordination among the purchasers in these markets.  </w:t>
        <w:br/>
        <w:t xml:space="preserve">95. Paragraph 760 of the guidelines recalls that: “[t]he risks of coordination between parent companies upon the creation of a joint venture are analyzed in light of three cumulative criteria: – a causal link must exist between the creation of the joint venture and the emergence of coordination risks among its parent companies or its strengthening; – the coordination must have a certain degree of plausibility, meaning that it must be possible and present an economic interest for the parent companies; – this coordination must have a significant effect on competition.”  </w:t>
        <w:br/>
        <w:t xml:space="preserve">96. Regarding the condition related to the causal link, paragraph 761 of the guidelines specifies that “[t]he causal link can be established if the activity of the joint venture is of essential importance for the markets in which its parent companies are active.”  </w:t>
        <w:br/>
        <w:t xml:space="preserve">97. In this case, this criterion is not met, as SEMCODA's management for its own account of social housing is not essential for the purchasers and the conduct of their own activities. Furthermore, it should be noted that this activity of SEMCODA represents a limited fraction of the overall activity of CDC and Action Logement. Indeed, according to the information provided by the notifying parties, SEMCODA manages approximately 30,000 social housing units, compared to about 500,000 for CDC and 1 million for Action Logement at the national level.  </w:t>
        <w:br/>
        <w:t xml:space="preserve">98. Moreover, it should be emphasized that the market for the management for one's own account of social housing is characterized by its local dimension. The multiplicity of geographic markets concerned by the operation is likely to make it difficult to implement a coordination of behaviors among the purchasers37.  </w:t>
        <w:br/>
        <w:t xml:space="preserve">99. Given these elements, the operation is not likely to harm competition through coordination of the purchasers' behavior.  </w:t>
        <w:br/>
        <w:t>37 See, in this sense, paragraph 747 of the guidelines.</w:t>
      </w:r>
    </w:p>
    <w:p>
      <w:r>
        <w:rPr>
          <w:b/>
        </w:rPr>
        <w:t>[Pages 16–16]</w:t>
      </w:r>
    </w:p>
    <w:p>
      <w:r>
        <w:t xml:space="preserve">DECIDES  </w:t>
        <w:br/>
        <w:t xml:space="preserve">Single Article: The operation notified under number 20-195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