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https://www.autoritedelaconcurrence.fr/fr/decision-de-controle-des-concentrations/relative-la-prise-de-controle-conjoint-de-la-societe-156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21-DCC-64 of April 9, 2021  </w:t>
        <w:br/>
        <w:t xml:space="preserve">regarding the joint control of the company Keracer by the  </w:t>
        <w:br/>
        <w:t xml:space="preserve">companies Krout and ITM Entreprises  </w:t>
        <w:br/>
        <w:t xml:space="preserve">The Competition Authority,  </w:t>
        <w:br/>
        <w:t xml:space="preserve">Having regard to the complete notification file sent to the mergers department on March 16, 2021,  </w:t>
        <w:br/>
        <w:t xml:space="preserve">concerning the joint control of the company Keracer by the companies Krout and ITM  </w:t>
        <w:br/>
        <w:t xml:space="preserve">Entreprises, formalized by a letter of commitment dated February 25,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by the company Krout and  </w:t>
        <w:br/>
        <w:t xml:space="preserve">ITM Entreprises of the company Keracer, which operates a business establishment predominantly  </w:t>
        <w:br/>
        <w:t xml:space="preserve">in the food sector of supermarket type under the Netto brand with an area of 600 m2 located in Pornic  </w:t>
        <w:br/>
        <w:t xml:space="preserve">(44). It constitutes a concentration operation within the meaning of Article L. 430-1 of the Commercial Code.  </w:t>
        <w:br/>
        <w:t xml:space="preserve">Given the turnover achieved by the concerned companies, the operation does not fall under the jurisdiction of the European Union.  </w:t>
        <w:br/>
        <w:t xml:space="preserve">On the other hand, the control thresholds related to retail trade mentioned in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21-051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