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https://www.autoritedelaconcurrence.fr/fr/decision-de-controle-des-concentrations/relative-la-prise-de-controle-conjoint-de-la-societe-157</w:t>
      </w:r>
    </w:p>
    <w:p>
      <w:r>
        <w:t>Pages translated : 2</w:t>
      </w:r>
    </w:p>
    <w:p/>
    <w:p>
      <w:r>
        <w:rPr>
          <w:b/>
        </w:rPr>
        <w:t>[Pages 1–2]</w:t>
      </w:r>
    </w:p>
    <w:p>
      <w:r>
        <w:t xml:space="preserve">FRENCH REPUBLIC  </w:t>
        <w:br/>
        <w:t xml:space="preserve">Decision No. 21-DCC-76 of May 6, 2021  </w:t>
        <w:br/>
        <w:t xml:space="preserve">regarding the joint control acquisition of the company Candela by the  </w:t>
        <w:br/>
        <w:t xml:space="preserve">companies Bricolding and ITM Entreprises  </w:t>
        <w:br/>
        <w:t xml:space="preserve">The Competition Authority,  </w:t>
        <w:br/>
        <w:t xml:space="preserve">Having regard to the complete notification file submitted to the mergers department on April 14, 2021,  </w:t>
        <w:br/>
        <w:t xml:space="preserve">concerning the joint control acquisition of the company Candela by the companies Bricolding and ITM  </w:t>
        <w:br/>
        <w:t xml:space="preserve">Entreprises, formalized by the conclusion of a share transfer agreement dated April 12, 2021;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the companies Bricolding and ITM  </w:t>
        <w:br/>
        <w:t xml:space="preserve">Entreprises of the company Candela, which operates a retail business primarily focused on food under the brand "Intermarché" with a surface area of 1,500 m² located in Villeréal (47). It  </w:t>
        <w:br/>
        <w:t xml:space="preserve">constitutes a concentration operation within the meaning of Article L. 430-1 of the Commercial Code.  </w:t>
        <w:br/>
        <w:t xml:space="preserve">Given the turnover achieved by the companies concerned, the operation does not fall under the jurisdiction of the European Union. On the other hand, the retail control thresholds mentioned in II of Article L. 430-2 of the Commercial Code are exceeded.  </w:t>
        <w:br/>
        <w:t xml:space="preserve">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21-066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