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https://www.autoritedelaconcurrence.fr/fr/decision-de-controle-des-concentrations/relative-la-prise-de-controle-conjoint-de-la-societe-159</w:t>
      </w:r>
    </w:p>
    <w:p>
      <w:r>
        <w:t>Pages translated : 2</w:t>
      </w:r>
    </w:p>
    <w:p/>
    <w:p>
      <w:r>
        <w:rPr>
          <w:b/>
        </w:rPr>
        <w:t>[Pages 1–2]</w:t>
      </w:r>
    </w:p>
    <w:p>
      <w:r>
        <w:t xml:space="preserve">FRENCH REPUBLIC  </w:t>
        <w:br/>
        <w:t xml:space="preserve">Decision No. 21-DCC-90 of June 10, 2021  </w:t>
        <w:br/>
        <w:t xml:space="preserve">regarding the joint control of the company Cevidis by the  </w:t>
        <w:br/>
        <w:t xml:space="preserve">Carrefour group and the Dromer group  </w:t>
        <w:br/>
        <w:t xml:space="preserve">The Competition Authority,  </w:t>
        <w:br/>
        <w:t xml:space="preserve">Having regard to the complete notification file sent to the mergers department on May 10, 2021,  </w:t>
        <w:br/>
        <w:t xml:space="preserve">concerning the joint control of the company Cevidis by the Carrefour group and the Dromer group, formalized by a share transfer promise dated April 12, 2021;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joint control by the Carrefour group and the Dromer group of the company Cevidis, which operates a food-dominant business fund under the brand "Carrefour Market" with an area of 1,340 m² located in Saint-Gratien (95). It constitutes a concentration operation within the meaning of Article L. 430-1 of the Commercial Code. Given the turnover achieved by the companies concerned, the operation does not fall under the jurisdiction of the European Union. However, the control thresholds related to retail trade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21-094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