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11-DCC-176 of November 24, 2011  </w:t>
        <w:br/>
        <w:t xml:space="preserve">regarding the joint control acquisition of the company Ferneige by  </w:t>
        <w:br/>
        <w:t xml:space="preserve">ITM Entreprise and Toscane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3, 2011, concerning the joint control acquisition of the company Ferneige by the company  </w:t>
        <w:br/>
        <w:t xml:space="preserve">Toscane alongside ITM Entreprises;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Ferneige, operating  </w:t>
        <w:br/>
        <w:t xml:space="preserve">a predominantly food distribution business under the Intermarché (Ecomarché) brand, with a surface area of 800 m² and located in the city of Péron (01), by the company  </w:t>
        <w:br/>
        <w:t xml:space="preserve">Toscane alongside ITM Entreprises. The company Toscane is a French law company  </w:t>
        <w:br/>
        <w:t xml:space="preserve">owned by X that operates a food distribution business under  </w:t>
        <w:br/>
        <w:t xml:space="preserve">the Intermarché brand in Saint-Genis-Pouilly (01). This operation constitutes a  </w:t>
        <w:br/>
        <w:t xml:space="preserve">concentration within the meaning of Article L. 430-1 of the Commercial Code. Given the revenues  </w:t>
        <w:br/>
        <w:t xml:space="preserve">generated by the companies involved, the operation does not have a community dimension. On the other hand, the control thresholds related to retail trade mentioned  </w:t>
        <w:br/>
        <w:t xml:space="preserve">in point II of Article L. 430-2 of the Commercial Code are exceeded. This operation is  </w:t>
        <w:br/>
        <w:t xml:space="preserve">therefore subject to the provisions of Articles L. 430-3 and following of the Commercial Code relating  </w:t>
        <w:br/>
        <w:t xml:space="preserve">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11-0209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