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https://www.autoritedelaconcurrence.fr/fr/decision-de-controle-des-concentrations/relative-la-prise-de-controle-conjoint-de-la-societe-162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21-DCC-140 of August 6, 2021  </w:t>
        <w:br/>
        <w:t xml:space="preserve">regarding the joint control acquisition of the company Gitonnière by the  </w:t>
        <w:br/>
        <w:t xml:space="preserve">companies ITM Entreprises and Anthova  </w:t>
        <w:br/>
        <w:t xml:space="preserve">The Competition Authority,  </w:t>
        <w:br/>
        <w:t xml:space="preserve">Having regard to the complete notification file sent to the mergers department on July 16, 2021,  </w:t>
        <w:br/>
        <w:t xml:space="preserve">concerning the joint control acquisition of the company Gitonnière by the companies ITM Entreprises  </w:t>
        <w:br/>
        <w:t xml:space="preserve">and Anthova, formalized by a share transfer agreement dated July 12,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Anthova of the company Gitonnière which operates a retail business primarily focused on  </w:t>
        <w:br/>
        <w:t xml:space="preserve">food, of a surface area of 2,012 m² under the Intermarché brand located in  </w:t>
        <w:br/>
        <w:t xml:space="preserve">La Rochelle (17). It constitutes a concentration operation within the meaning of Article L. 430-1 of the  </w:t>
        <w:br/>
        <w:t xml:space="preserve">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related to retail trade mentioned in II of Article L. 430-2 of the Commercial Code are exceeded.  </w:t>
        <w:br/>
        <w:t xml:space="preserve">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21-156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