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https://www.autoritedelaconcurrence.fr/fr/decision-de-controle-des-concentrations/relative-la-prise-de-controle-conjoint-de-la-societe-164</w:t>
      </w:r>
    </w:p>
    <w:p>
      <w:r>
        <w:t>Pages translated : 9</w:t>
      </w:r>
    </w:p>
    <w:p/>
    <w:p>
      <w:r>
        <w:rPr>
          <w:b/>
        </w:rPr>
        <w:t>[Pages 1–3]</w:t>
      </w:r>
    </w:p>
    <w:p>
      <w:r>
        <w:t xml:space="preserve">FRENCH REPUBLIC  </w:t>
        <w:br/>
        <w:t xml:space="preserve">Decision No. 21-DCC-147 of August 30, 2021  </w:t>
        <w:br/>
        <w:t xml:space="preserve">regarding the joint acquisition of control of the company Miniburo by  </w:t>
        <w:br/>
        <w:t xml:space="preserve">the Caisse des dépôts et consignations and the company Nexity  </w:t>
        <w:br/>
        <w:t xml:space="preserve">The Competition Authority,  </w:t>
        <w:br/>
        <w:t xml:space="preserve">Having regard to the notification file submitted in full to the merger service on August 10, 2021,  </w:t>
        <w:br/>
        <w:t xml:space="preserve">regarding the joint acquisition of control of the company Miniburo by the Caisse des dépôts et  </w:t>
        <w:br/>
        <w:t xml:space="preserve">consignations and the company Nexity, formalized by a memorandum of understanding between the parties signed  </w:t>
        <w:br/>
        <w:t xml:space="preserve">on April 13, 2021;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notifying parties during the investigation;  </w:t>
        <w:br/>
        <w:t xml:space="preserve">Having regard to the other elements of the file;  </w:t>
        <w:br/>
        <w:t>Adopts the following decision:</w:t>
      </w:r>
    </w:p>
    <w:p>
      <w:r>
        <w:t xml:space="preserve">Summary  </w:t>
        <w:br/>
        <w:t xml:space="preserve">Under the terms of the decision below, the Authority examined the joint acquisition of control of the company Miniburo by the Caisse des dépôts et consignations and the company Nexity. Miniburo will offer shared workspace services ("co-working") in Île-de-France.  </w:t>
        <w:br/>
        <w:t xml:space="preserve">During its investigation, the Authority examined the effects of the operation on the real estate sector markets. In addition to the markets for real estate asset management and real estate development, which the Authority has reviewed several times in the past, the operation concerns the activity of providing shared workspaces ("co-working"), which the Authority is examining here for the first time.  </w:t>
        <w:br/>
        <w:t xml:space="preserve">Regarding the provision of shared workspaces, the investigation was able to highlight a notable difference between this activity and the management of traditional office real estate, due, on the one hand, to the terms and duration of the lease and, on the other hand, to the nature of the spaces and the ancillary services offered.  </w:t>
        <w:br/>
        <w:t xml:space="preserve">The investigation also highlighted a possible distinction between spaces meeting the labor code standards for the reception of workers (ERT) intended solely for businesses, and spaces meeting the construction and housing code standards for public reception (ERP), primarily intended for individual or independent workers. Nevertheless, the Authority considers that this question can be left open, as the competitive analysis remains unchanged, regardless of the segmentation adopted.  </w:t>
        <w:br/>
        <w:t xml:space="preserve">Regarding the geographical dimension that could be retained for the market of providing shared workspaces, the Authority found it relevant to adopt a geographical delimitation identical to that retained for other real estate service markets, with an analysis on a more local area being considered for locations meeting ERP standards.  </w:t>
        <w:br/>
        <w:t xml:space="preserve">In terms of its competitive analysis, the Authority ruled out any competition issues in this market, due to the market share of the parties and the existence of competitive alternatives.  </w:t>
        <w:br/>
        <w:t xml:space="preserve">The Authority therefore authorized this operation without subjecting it to any specific conditions.  </w:t>
        <w:br/>
        <w:t>* Correction of material error</w:t>
      </w:r>
    </w:p>
    <w:p>
      <w:r>
        <w:t xml:space="preserve">I. The companies concerned and the operation  </w:t>
        <w:br/>
        <w:t xml:space="preserve">1. The Caisse des dépôts et consignations (hereinafter, "CDC") is a public institution with a special legal status, created by the law of April 28, 1816 and governed by Articles L. 518-2 and following of the Monetary and Financial Code.  </w:t>
        <w:br/>
        <w:t xml:space="preserve">2. The Future Investment Program (hereinafter, "PIA") originates from the agreement of May 10, 2017 between the State and the CDC regarding the future investment program (action "High Ambition Innovation Territories"). This agreement created a fund, lacking legal personality, called "High Ambition Innovation Territories Fund" endowed with 500 million euros and of which the CDC is the operator. Under this agreement, the CDC acts in its own name and on behalf of the State. Within the CDC, the PIA is managed by the Directorate of the Bank of Territories (the "Bank of Territories").  </w:t>
        <w:br/>
        <w:t xml:space="preserve">3. Nexity is the parent holding company of the Nexity group. Nexity is a French group providing real estate services.  </w:t>
        <w:br/>
        <w:t xml:space="preserve">4. Nexity exclusively controls (at a rate of […]%) the company Morning, which is active in the sector of providing shared workspaces. The CDC, through its subsidiary the Bank of Territories, holds a non-controlling stake in the company Morning.  </w:t>
        <w:br/>
        <w:t xml:space="preserve">5. Morning currently controls 100% of the company Miniburo, […].  </w:t>
        <w:br/>
        <w:t xml:space="preserve">6. The notified operation is formalized by a memorandum of understanding dated April 13, 2021, signed between the CDC and the PIA, on the one hand, and Nexity and Morning, on the other hand.  </w:t>
        <w:br/>
        <w:t xml:space="preserve">7. According to the terms of the memorandum of understanding, the operation consists of the joint acquisition of control of the company Miniburo by the CDC, the PIA, and Nexity alongside Morning. Following the operation, the share capital of the target will be distributed as follows: approximately […]% for the CDC, the PIA, and Nexity, and […]% for Morning.  </w:t>
        <w:br/>
        <w:t xml:space="preserve">8. The governance of the joint venture will be ensured by a president, under the supervision of a strategic committee responsible for approving the main strategic decisions concerning Miniburo.  </w:t>
        <w:br/>
        <w:t xml:space="preserve">9. Under the terms of the memorandum of understanding, the strategic committee will be composed of […] members, […].  </w:t>
        <w:br/>
        <w:t xml:space="preserve">10. Given these elements, it should be considered that the CDC and Nexity will jointly exercise control over Miniburo.  </w:t>
        <w:br/>
        <w:t xml:space="preserve">11. Furthermore, it appears from the elements communicated by the notifying party that the company will have its own financial and material resources and an activity distinct from its parent companies that will generate its own turnover. Finally, while the joint venture may maintain commercial relationships with its parents, these will be conducted on market terms. Consequently, the joint venture will have sufficient resources to operate in the market autonomously and sustainably. It can be classified as a full-function joint venture.  </w:t>
        <w:br/>
        <w:t xml:space="preserve">12. As it results in the joint acquisition of control of the company Miniburo by the CDC and Nexity (hereinafter, "the parties"), the notified operation constitutes a concentration within the meaning of Article L. 430-1 of the Commercial Code.  </w:t>
        <w:br/>
        <w:t>13. The companies concerned together achieve a total turnover excluding taxes on a global scale of more than 150 million euros (CDC: [&gt; 150 million] euros for the fiscal year ending</w:t>
      </w:r>
    </w:p>
    <w:p>
      <w:r>
        <w:rPr>
          <w:b/>
        </w:rPr>
        <w:t>[Pages 4–6]</w:t>
      </w:r>
    </w:p>
    <w:p>
      <w:r>
        <w:t>as of December 31, 2020; Nexity: [&gt; 150 million] euros for the same fiscal year). Each of these companies achieved a turnover in France exceeding 50 million euros (CDC: [&gt; 50 million] euros for the fiscal year ending December 31, 2020; Nexity: [&gt; 50 million] euros for the same fiscal year). These companies have all achieved more than two-thirds of their turnover within the European Union in France.</w:t>
      </w:r>
    </w:p>
    <w:p>
      <w:r>
        <w:t>14. Given these turnovers,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II. Definition of Relevant Markets</w:t>
      </w:r>
    </w:p>
    <w:p>
      <w:r>
        <w:t>15. The CDC and Nexity are both active in the real estate services markets.</w:t>
      </w:r>
    </w:p>
    <w:p>
      <w:r>
        <w:t>A. DEFINITION OF SERVICE MARKETS</w:t>
      </w:r>
    </w:p>
    <w:p>
      <w:r>
        <w:t>a) The markets in the real estate services sector</w:t>
      </w:r>
    </w:p>
    <w:p>
      <w:r>
        <w:t>16. National and European competition authorities have considered various market segmentations in the real estate services sector according to (i) the recipients of the services, with properties intended either for individuals, in which case the buildings are for residential use, or for businesses, in which case the buildings are for commercial or professional use, (ii) the pricing method (free residential real estate and social or intermediate housing), (iii) the type of activity carried out in the premises (offices, commercial premises, and other activity premises such as warehouses or hotels) and (iv) the nature of the services or goods offered.</w:t>
      </w:r>
    </w:p>
    <w:p>
      <w:r>
        <w:t>17. For this last segmentation, the following services have been identified in the aforementioned decisions:</w:t>
      </w:r>
    </w:p>
    <w:p>
      <w:r>
        <w:t>1 Of which […] euros within the European Union.</w:t>
        <w:br/>
        <w:t>2 […] within the European Union.</w:t>
        <w:br/>
        <w:t>3 See in particular decision C2008-79 / Letter from the Minister of Economy, Industry and Employment dated August 22, 2008, to the boards of the companies CDC and Eurosic, regarding a concentration in the real estate sector, BOCCRF No. 8 bis of October 23, 2008, and the Authority's decisions No. 09-DCC-16 of June 22, 2009, regarding the merger between the Caisse d’Épargne and Banque Populaire groups, No. 15-DCC-156 of December 7, 2015, regarding the joint acquisition of a real estate asset for office use by Sogecap and Prédica, No. 16-DCC-84 of June 24, 2016, regarding the exclusive acquisition of the company Foncière de Paris by the company Gecina, No. 17-DCC-122 of August 4, 2017, regarding the exclusive acquisition of assets of the company Eurosic by the company Gecina, No. 19-DCC-32 of February 25, 2019, regarding the creation of a joint venture by the VYV and Habitat Développement groups, and No. 20-DCC-84 of July 17, 2020, regarding the exclusive acquisition of SODIAC by CDC Habitat.</w:t>
        <w:br/>
        <w:t>4 See the decisions of the Commission COMP/M.2110 Deutsche Bank / SEI / JV of September 25, 2000, IV/M.2825 Fortis AG SA / Bernheim-Comofi SA of July 9, 2002, COMP/M.3370 BNP Paribas/ARI of March 9, 2004.</w:t>
        <w:br/>
        <w:t>5 See in particular the decisions of the Competition Authority No. 13-DCC-80 of July 3, 2013, No. 13-DCC-26 of March 1, 2013, No. 12-DCC-157 of November 15, 2012, No. 11-DCC-178 of December 13, 2011, No. 10-DCC-112 of September 17, 2010, No. 10-DCC-13 of January 29, 2010, as well as the letter from the Minister of Economy, Industry and Employment C2008-79 of August 22, 2008, regarding a concentration in the real estate sector and the European Commission decision of March 9, 2004, No. COMP/M.3370, BNP Paribas / ARI.</w:t>
        <w:br/>
        <w:t>6 See the letter from the Minister of Economy, Finance and Industry C2003-66 of April 17, 2003, to the boards of the company CBRE Holding Inc. regarding a concentration in the real estate services sector, B.O.C.C.R.F. No. 2003-11.</w:t>
        <w:br/>
        <w:t>7 See in particular decisions No. 13-DCC-80 and No. 20-DCC-84 mentioned above.</w:t>
      </w:r>
    </w:p>
    <w:p>
      <w:r>
        <w:t>(i) real estate development, which includes the activities of construction and sale of real estate;</w:t>
        <w:br/>
        <w:t>(ii) asset management for one's own account;</w:t>
        <w:br/>
        <w:t>(iii) asset management for third parties (institutional investors, mainly banks and insurance companies), which covers advisory and portfolio management (arbitrage and asset valuation), structuring of real estate investment operations, and management of real estate assets and specialized investment vehicles (notably civil real estate companies);</w:t>
        <w:br/>
        <w:t>(iv) property management, which covers the activities of managing buildings on behalf of owners and can be segmented between rental management and co-ownership management;</w:t>
        <w:br/>
        <w:t>(v) real estate appraisal;</w:t>
        <w:br/>
        <w:t>(vi) real estate consulting;</w:t>
        <w:br/>
        <w:t>(vii) intermediation in real estate transactions, where intermediation in purchase/sale operations is distinguished from intermediation in rental operations.</w:t>
      </w:r>
    </w:p>
    <w:p>
      <w:r>
        <w:t>18. In this case, the parties are simultaneously active in the markets for managing their own office real estate assets and for the development of office real estate assets.</w:t>
      </w:r>
    </w:p>
    <w:p>
      <w:r>
        <w:t>b) The market for providing shared workspaces</w:t>
      </w:r>
    </w:p>
    <w:p>
      <w:r>
        <w:t>19. The CDC and Nexity, through the subsidiaries they control, both offer shared workspace services ("co-working"). This activity will also be developed by Miniburo. It is therefore necessary to consider the appropriateness of segmenting a distinct market for the provision of shared workspace services.</w:t>
      </w:r>
    </w:p>
    <w:p>
      <w:r>
        <w:t>20. To date, competition authorities have not ruled on the existence of a market for providing shared workspaces. The notifying parties consider that this market is not distinct from the market for managing office real estate assets for their own account, in which the parties are active.</w:t>
      </w:r>
    </w:p>
    <w:p>
      <w:r>
        <w:t>21. However, the activity of providing shared workspaces diverges from that of managing traditional office real estate assets. First, the rental terms for shared workspaces do not follow the classic model of traditional office rentals, which are organized around long-term leases (3, 6, and 9 years). The rental duration for shared workspaces, on the other hand, ranges from a few hours to several months. Furthermore, the nature of the spaces rented by clients differs from traditional offices, as these spaces are sometimes shared among several companies or workers, and are often modular and adaptable. Finally, a number of ancillary services to office rentals are an integral part of the offer.</w:t>
      </w:r>
    </w:p>
    <w:p>
      <w:r>
        <w:t>22. The Authority therefore conducted a consultation with operators in this market and clients to determine the extent to which the market for providing shared workspaces is or is not distinct from the market for managing office real estate assets. The results of this market test indicate that, for the most part, the market players are not the same as those in asset management.</w:t>
      </w:r>
    </w:p>
    <w:p>
      <w:r>
        <w:t>23. Furthermore, many stakeholders have highlighted the heterogeneous nature of the clientele using shared workspaces (ranging from large companies with recurring needs to individual workers occasionally seeking a workspace) and the locations where they are installed (some freely welcoming the public, like third places, others having restricted access like traditional office buildings).</w:t>
      </w:r>
    </w:p>
    <w:p>
      <w:r>
        <w:t>24. Considering the elements just presented, it thus appears that the provision of shared workspaces constitutes a distinct activity within the real estate sector, which should therefore be analyzed specifically.</w:t>
      </w:r>
    </w:p>
    <w:p>
      <w:r>
        <w:t>25. In the context of the market test, some actors suggested a possible distinction between spaces meeting the standards of establishments receiving workers (hereinafter, "ERT") and spaces meeting the standards of establishments receiving the public (hereinafter, "ERP").</w:t>
      </w:r>
    </w:p>
    <w:p>
      <w:r>
        <w:t>26. Premises classified as ERT are subject to compliance with safety standards defined by the Labor Code in order to accommodate workers. The main purpose of the ERT standards is to ensure the safety of workers against fire risks. Shared workspaces meeting these standards are primarily intended to accommodate employees and businesses.</w:t>
      </w:r>
    </w:p>
    <w:p>
      <w:r>
        <w:t>27. Premises classified as ERP, on the other hand, are subject to obligations regarding safety and fire prevention defined by the Construction and Housing Code. ERPs are classified based on their capacity, activity, or nature of operation. For example, a meeting room or offices that usually receive the public may fall under the ERP classification and are more likely to accommodate individual or independent workers.</w:t>
      </w:r>
    </w:p>
    <w:p>
      <w:r>
        <w:t>28. The conclusions of the competitive analysis remain unchanged regardless of the segmentation retained; the question of the exact delineation of the co-working market, and notably a possible segmentation of the co-working market between ERT and ERP, can be left open.</w:t>
      </w:r>
    </w:p>
    <w:p>
      <w:r>
        <w:t>29. In this case, the parties are active as providers through their subsidiaries offering co-working services in ERPs and ERTs.</w:t>
      </w:r>
    </w:p>
    <w:p>
      <w:r>
        <w:t>B. GEOGRAPHICAL MARKETS</w:t>
      </w:r>
    </w:p>
    <w:p>
      <w:r>
        <w:t>30. Decision-making practice considers that markets related to the real estate sector are of a local dimension, while leaving the question open. However, the analysis could be conducted at the national level for real estate services aimed at businesses when the operations were carried out by groups of national scope.</w:t>
      </w:r>
    </w:p>
    <w:p>
      <w:r>
        <w:rPr>
          <w:b/>
        </w:rPr>
        <w:t>[Pages 7–9]</w:t>
      </w:r>
    </w:p>
    <w:p>
      <w:r>
        <w:t xml:space="preserve">31. More specifically, for the markets of real estate asset management for one's own account, the market analysis is conducted at the regional, departmental, and, where applicable, at the level of the concerned agglomeration.  </w:t>
        <w:br/>
        <w:t xml:space="preserve">32. However, regarding Île-de-France, practice has considered the existence of a continuity of the urban area on the real estate markets that justified a regional analysis.  </w:t>
        <w:br/>
        <w:t xml:space="preserve">33. In this case, the respondents to the market test indicated that it was relevant to retain, concerning the provision of shared workspaces, a geographical delimitation identical to that retained for other real estate service markets, with a more localized analysis being considered for locations meeting ERP standards.  </w:t>
        <w:br/>
        <w:t xml:space="preserve">34. In any case, the geographical delimitation of the markets can be left open, with the conclusions of the competitive analysis remaining unchanged regardless of the delimitation considered. In this instance, the analysis will therefore be conducted at the level of Île-de-France.  </w:t>
        <w:br/>
        <w:t xml:space="preserve">III. Competitive Analysis  </w:t>
        <w:br/>
        <w:t xml:space="preserve">35. The operation could potentially produce horizontal effects (A) and vertical effects (B) given the sectors of activity of the parties. Finally, considering the activities of the parent companies, the risk of coordination between them following the operation must be analyzed (C).  </w:t>
        <w:br/>
        <w:t xml:space="preserve">A. ANALYSIS OF HORIZONTAL EFFECTS  </w:t>
        <w:br/>
        <w:t xml:space="preserve">36. The activities of CDC, Nexity, and Miniburo overlap in the market for the provision of shared workspaces.  </w:t>
        <w:br/>
        <w:t xml:space="preserve">37. In this market, their combined market share, following the operation, is estimated to be below 25% at the regional level regardless of the segmentation or geographical delimitation retained.  </w:t>
        <w:br/>
        <w:t xml:space="preserve">38. In light of these elements, the operation does not raise serious doubts regarding harm to competition through horizontal effects.  </w:t>
        <w:br/>
        <w:t xml:space="preserve">B. ANALYSIS OF VERTICAL EFFECTS  </w:t>
        <w:br/>
        <w:t xml:space="preserve">39. A vertical concentration can restrict competition by making access to the markets where the new entity will be active more difficult, or potentially by excluding competitors or penalizing them through increased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considers that a risk of vertical effect can generally be ruled out as long as the market share of the parties does not exceed 30% in the relevant markets.  </w:t>
        <w:br/>
        <w:t xml:space="preserve">40. In this case, there is a vertical link between the activities of Nexity and CDC in the upstream markets of managing real estate assets for one's own account and those of Miniburo in the market for the provision of shared workspaces.  </w:t>
        <w:br/>
        <w:t xml:space="preserve">41. However, as stated in the previous section, the notifying parties believe that the combined market share of the parties following the operation in the downstream market for the provision of shared workspaces co-working will be well below 25%, regardless of the segmentation considered and the geographical delimitation retained. Furthermore, in this market, the parties face strong local and regional competition from comparably sized companies, particularly in Île-de-France.  </w:t>
        <w:br/>
        <w:t xml:space="preserve">42. Upstream, in the market for managing real estate assets for one's own account, the parties estimate that the combined market share of Nexity and CDC is below 10% at the national level, and below 25% in the Île-de-France region.  </w:t>
        <w:br/>
        <w:t xml:space="preserve">43. In light of these elements, the operation does not raise serious doubts regarding harm to competition through vertical effects.  </w:t>
        <w:br/>
        <w:t xml:space="preserve">C. RISK OF COORDINATION BETWEEN PARENT COMPANIES  </w:t>
        <w:br/>
        <w:t xml:space="preserve">44. A risk of coordination exists when the parent companies are simultaneously present in the same markets or in markets vertically linked to those in which the joint venture operates. The risk of coordination cannot be excluded a priori when the parent companies are simultaneously present in a market distinct from that in which their joint subsidiary is or will be active.  </w:t>
        <w:br/>
        <w:t xml:space="preserve">45. In this case, this risk is present in the market for real estate development and in the market for managing real estate assets for one's own account.  </w:t>
        <w:br/>
        <w:t xml:space="preserve">46. In the market for real estate development, the combined market share of the parties at the national level is estimated by them to be below 5%. The parties indicate […]11.  </w:t>
        <w:br/>
        <w:t xml:space="preserve">47. In the market for managing real estate assets for one's own account, as previously indicated, the parties estimate that the combined market share of Nexity and CDC is below 10% at the national level, and below 25% in Île-de-France.  </w:t>
        <w:br/>
        <w:t xml:space="preserve">48. Thus, considering the positions of the parties in these different markets, any risk of harm to competition through coordination of the behavior of the parent companies can be ruled out.  </w:t>
        <w:br/>
        <w:t xml:space="preserve">49. The operation is not likely to harm competition through coordinated effects.  </w:t>
        <w:br/>
        <w:t>11 For information, the parties estimate Nexity's market share at the regional level as significantly below 30%.</w:t>
      </w:r>
    </w:p>
    <w:p>
      <w:r>
        <w:t xml:space="preserve">DECIDES  </w:t>
        <w:br/>
        <w:t xml:space="preserve">Sole Article: The operation notified under number 21-063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