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https://www.autoritedelaconcurrence.fr/fr/decision-de-controle-des-concentrations/relative-la-prise-de-controle-conjoint-de-la-societe-165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21-DCC-152 of September 1, 2021  </w:t>
        <w:br/>
        <w:t xml:space="preserve">regarding the joint control acquisition of the company Victoire by the  </w:t>
        <w:br/>
        <w:t xml:space="preserve">Cooperative U Enseigne and Mr. Raphaël Jung  </w:t>
        <w:br/>
        <w:t xml:space="preserve">The Competition Authority,  </w:t>
        <w:br/>
        <w:t xml:space="preserve">Having regard to the complete notification file submitted to the mergers department on August 16, 2021,  </w:t>
        <w:br/>
        <w:t xml:space="preserve">concerning the joint control acquisition of the company Victoire by the Cooperative U Enseigne  </w:t>
        <w:br/>
        <w:t xml:space="preserve">and Mr. Raphaël Jung, formalized by the probative protocol of November 3,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Cooperative U  </w:t>
        <w:br/>
        <w:t xml:space="preserve">Enseigne and Mr. Raphaël Jung of the company Victoire, which operates, through its subsidiary Bilandis,  </w:t>
        <w:br/>
        <w:t xml:space="preserve">a commercial establishment primarily focused on food of the hypermarket type with an area of  </w:t>
        <w:br/>
        <w:t xml:space="preserve">2,795 m² under the brand "Super U" in the city of Rohrbach-Lès-Bitche (57). It constitutes  </w:t>
        <w:br/>
        <w:t xml:space="preserve">a concentration operation within the meaning of Article L. 430-1 of the Commercial Code. Given  </w:t>
        <w:br/>
        <w:t xml:space="preserve">the turnover generated by the companies involved, the operation does not fall under the  </w:t>
        <w:br/>
        <w:t xml:space="preserve">jurisdiction of the European Union. However, the retail control thresholds mentioned in II of Article L. 430-2 of the Commercial Code are exceeded. This  </w:t>
        <w:br/>
        <w:t xml:space="preserve">operation is therefore subject to the provisions of Articles L. 430-3 and following of the Commercial Code  </w:t>
        <w:br/>
        <w:t xml:space="preserve">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21-168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