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https://www.autoritedelaconcurrence.fr/fr/decision-de-controle-des-concentrations/relative-la-prise-de-controle-conjoint-de-la-societe-166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21-DCC-162 of September 10, 2021  </w:t>
        <w:br/>
        <w:t xml:space="preserve">regarding the joint control acquisition of the company HydroCEE by  </w:t>
        <w:br/>
        <w:t xml:space="preserve">Mr. Entemeyer and the companies Primeo Énergie France and 5K  </w:t>
        <w:br/>
        <w:t xml:space="preserve">The Competition Authority,  </w:t>
        <w:br/>
        <w:t xml:space="preserve">Having regard to the complete notification file sent to the mergers department on August 25, 2021,  </w:t>
        <w:br/>
        <w:t xml:space="preserve">concerning the joint control acquisition of the company HydroCEE and all its subsidiaries  </w:t>
        <w:br/>
        <w:t xml:space="preserve">by Mr. Entemeyer and the companies Primeo Énergie France and 5K, formalized by a  </w:t>
        <w:br/>
        <w:t xml:space="preserve">shareholders' agreement dated July 12,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companies Primeo Énergie  </w:t>
        <w:br/>
        <w:t xml:space="preserve">France and 5K and by Mr. Entemeyer of the company HydroCEE, which is active in the  </w:t>
        <w:br/>
        <w:t xml:space="preserve">implementation of energy efficiency works within the framework of energy savings certificates  </w:t>
        <w:br/>
        <w:t xml:space="preserve">(“CEE”). It constitutes a concentration operation within the meaning of Article L. 430-1 of the  </w:t>
        <w:br/>
        <w:t xml:space="preserve">Commercial Code. Given the turnover achieved by the companies involved, the operation does not fall  </w:t>
        <w:br/>
        <w:t xml:space="preserve">under the jurisdiction of the European Union. On the other hand, the control thresholds mentioned in  </w:t>
        <w:br/>
        <w:t xml:space="preserve">I of Article 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21-172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