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https://www.autoritedelaconcurrence.fr/fr/decision-de-controle-des-concentrations/relative-la-prise-de-controle-conjoint-de-la-societe-167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21-DCC-158 of September 15, 2021  </w:t>
        <w:br/>
        <w:t xml:space="preserve">regarding the joint control of the company Dijon Métropole  </w:t>
        <w:br/>
        <w:t xml:space="preserve">Smart Energhy by the company ADEME Investissement alongside  </w:t>
        <w:br/>
        <w:t xml:space="preserve">Dijon Métropole and the companies Rougeot Énergie Invest and Storengy  </w:t>
        <w:br/>
        <w:t xml:space="preserve">The Competition Authority,  </w:t>
        <w:br/>
        <w:t xml:space="preserve">Having regard to the complete notification file sent to the mergers department on August 31, 2021,  </w:t>
        <w:br/>
        <w:t xml:space="preserve">regarding the joint control of the company Dijon Métropole Smart Energhy by the company  </w:t>
        <w:br/>
        <w:t xml:space="preserve">ADEME Investissement alongside Dijon Métropole and the companies Rougeot Énergie Invest  </w:t>
        <w:br/>
        <w:t xml:space="preserve">and Storengy, formalized by a shareholders' agreement signed between the parties on July 27,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of the company Dijon Métropole  </w:t>
        <w:br/>
        <w:t xml:space="preserve">Smart Energhy, active in the sector of construction, realization, and operation  </w:t>
        <w:br/>
        <w:t xml:space="preserve">of hydrogen production and distribution facilities, by the company ADEME Investissement  </w:t>
        <w:br/>
        <w:t xml:space="preserve">alongside Dijon Métropole and the companies Rougeot Énergie Invest and Storengy. It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21-141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