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https://www.autoritedelaconcurrence.fr/fr/decision-de-controle-des-concentrations/relative-la-prise-de-controle-conjoint-de-la-societe-168</w:t>
      </w:r>
    </w:p>
    <w:p>
      <w:r>
        <w:t>Pages translated : 2</w:t>
      </w:r>
    </w:p>
    <w:p/>
    <w:p>
      <w:r>
        <w:rPr>
          <w:b/>
        </w:rPr>
        <w:t>[Pages 1–2]</w:t>
      </w:r>
    </w:p>
    <w:p>
      <w:r>
        <w:t>FRENCH REPUBLIC</w:t>
        <w:br/>
        <w:t>Decision No. 21-DCC-192 of October 25, 2021</w:t>
        <w:br/>
        <w:t>regarding the joint control acquisition of the company Copamyl by the</w:t>
        <w:br/>
        <w:t>companies Junicya and ITM Entreprises</w:t>
        <w:br/>
        <w:t>The Competition Authority,</w:t>
        <w:br/>
        <w:t>Having regard to the complete notification file sent to the mergers department on October 7, 2021,</w:t>
        <w:br/>
        <w:t>concerning the joint control acquisition of the company Copamyl by the companies Junicya and ITM</w:t>
        <w:br/>
        <w:t>Entreprises, formalized by a share transfer agreement dated July 26, 2021;</w:t>
        <w:br/>
        <w:t>Having regard to Book IV of the Commercial Code relating to the freedom of prices and competition, and</w:t>
        <w:br/>
        <w:t>notably its Articles L. 430-1 to L. 430-7;</w:t>
        <w:br/>
        <w:t>Having regard to the elements provided by the notifying party during the investigation;</w:t>
        <w:br/>
        <w:t>Adopts the following decision:</w:t>
        <w:br/>
        <w:t>1. The notified operation consists of the joint control acquisition by the companies Junicya and</w:t>
        <w:br/>
        <w:t>ITM Entreprises of the company Copamyl, which operates a retail business primarily in food of the supermarket type under the brand "Intermarché" with a surface area of 2,000 m² located in Brumath (67). It constitutes a concentration operation within the meaning of Article L. 430-1 of the Commercial Code. Given the turnover achieved by the concerned companies, the operation does not fall under the jurisdiction of the European Union. However, the control thresholds related to retail trade mentioned in II of Article L. 430-2 of the Commercial Code are exceeded. This operation is therefore subject to the provisions of Articles L. 430-3 and following of the Commercial Code relating to economic concentration.</w:t>
        <w:br/>
        <w:t>2. In light of the elements of the file, the operation is not likely to harm competition in the relevant markets.</w:t>
      </w:r>
    </w:p>
    <w:p>
      <w:r>
        <w:t>DECIDES</w:t>
        <w:br/>
        <w:t>Sole Article: The operation notified under number 21-232 is authorized.</w:t>
        <w:br/>
        <w:t>The acting president,</w:t>
        <w:br/>
        <w:t>Emmanuel Combe</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