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11-DCC-202 of December 19, 2011  </w:t>
        <w:br/>
        <w:t xml:space="preserve">regarding the joint control acquisition of the company Sanibor  </w:t>
        <w:br/>
        <w:t xml:space="preserve">by the companies Soficant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28, 2011, concerning the joint control acquisition of the company Sanibor by the company  </w:t>
        <w:br/>
        <w:t xml:space="preserve">ITM Entreprises and the company Soficant, formalized by a share transfer agreement dated  </w:t>
        <w:br/>
        <w:t xml:space="preserve">November 2,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Sanibor, operating  </w:t>
        <w:br/>
        <w:t xml:space="preserve">a distribution business primarily in food, under the brand Intermarché, with a surface area of 2,493 m² and located in the city of Carcassonne (11), on the one hand, by the company  </w:t>
        <w:br/>
        <w:t xml:space="preserve">Soficant, belonging to the Fournier consortium, and on the other hand, by ITM Entreprises.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have a community dimension. On the other hand, the control thresholds related to  </w:t>
        <w:br/>
        <w:t xml:space="preserve">retail trade mentioned in point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11-231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