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https://www.autoritedelaconcurrence.fr/fr/decision-de-controle-des-concentrations/relative-la-prise-de-controle-conjoint-de-la-societe-171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21-DCC-227 of November 25, 2021  </w:t>
        <w:br/>
        <w:t xml:space="preserve">regarding the joint control of the company Sodichar by the  </w:t>
        <w:br/>
        <w:t xml:space="preserve">companies Sparco and ITM Entreprises  </w:t>
        <w:br/>
        <w:t>The Competition Authority,</w:t>
      </w:r>
    </w:p>
    <w:p>
      <w:r>
        <w:t xml:space="preserve">Having regard to the complete notification file sent to the mergers department on November 5, 2021,  </w:t>
        <w:br/>
        <w:t xml:space="preserve">concerning the joint control of the company Sodichar by the companies Sparco and  </w:t>
        <w:br/>
        <w:t>ITM Entreprises, formalized by a pre-contractual agreement protocol dated July 15, 2021;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joint control by the companies Sparco and  </w:t>
        <w:br/>
        <w:t xml:space="preserve">ITM Entreprises of the company Sodichar, which operates a business  </w:t>
        <w:br/>
        <w:t xml:space="preserve">primarily in the food sector of the supermarket type under the brand "Intermarché" with a surface area of 2,248 m² located  </w:t>
        <w:br/>
        <w:t xml:space="preserve">in Buc (78). It constitutes a concentration operation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thresholds for  </w:t>
        <w:br/>
        <w:t xml:space="preserve">control related to retail trade mentioned in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21-268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