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https://www.autoritedelaconcurrence.fr/fr/decision-de-controle-des-concentrations/relative-la-prise-de-controle-conjoint-de-la-societe-172</w:t>
      </w:r>
    </w:p>
    <w:p>
      <w:r>
        <w:t>Pages translated : 2</w:t>
      </w:r>
    </w:p>
    <w:p/>
    <w:p>
      <w:r>
        <w:rPr>
          <w:b/>
        </w:rPr>
        <w:t>[Pages 1–2]</w:t>
      </w:r>
    </w:p>
    <w:p>
      <w:r>
        <w:t xml:space="preserve">FRENCH REPUBLIC  </w:t>
        <w:br/>
        <w:t xml:space="preserve">Decision No. 21-DCC-221 of November 25, 2021  </w:t>
        <w:br/>
        <w:t xml:space="preserve">regarding the joint control acquisition of the company Cobeval by the  </w:t>
        <w:br/>
        <w:t xml:space="preserve">parties Pierre-André Couasnon and ITM Entreprises  </w:t>
        <w:br/>
        <w:t xml:space="preserve">The Competition Authority,  </w:t>
        <w:br/>
        <w:t xml:space="preserve">Having regard to the complete notification file sent to the mergers department on November 9, 2021, concerning  </w:t>
        <w:br/>
        <w:t xml:space="preserve">the joint control acquisition of the company Cobeval by the parties Pierre-André Couasnon and ITM  </w:t>
        <w:br/>
        <w:t xml:space="preserve">Entreprises, formalized by a letter of intent dated October 21, 2021;  </w:t>
        <w:br/>
        <w:t xml:space="preserve">Having regard to Book IV of the Commercial Code relating to the freedom of prices and competition, and in particular its  </w:t>
        <w:br/>
        <w:t xml:space="preserve">articles L. 430-1 to L. 430-7;  </w:t>
        <w:br/>
        <w:t xml:space="preserve">Adopts the following decision:  </w:t>
        <w:br/>
        <w:t xml:space="preserve">1. The notified operation consists of the joint control acquisition by the parties Pierre-André Couasnon and  </w:t>
        <w:br/>
        <w:t xml:space="preserve">ITM Entreprises of the company Cobeval, which operates a retail business predominantly in food of the hypermarket type under the brand "Intermarché" with a surface area of 3,410 m² located in Valognes (50). It constitutes a concentration operation within the meaning of Article L. 430-1 of the Commercial Code. Given the turnover generated by the companies concerned, the operation does not fall under the jurisdiction of the European Union. However, the retail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21-274 is authorized.  </w:t>
        <w:br/>
        <w:t xml:space="preserve">The acting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