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https://www.autoritedelaconcurrence.fr/fr/decision-de-controle-des-concentrations/relative-la-prise-de-controle-conjoint-de-la-societe-175</w:t>
      </w:r>
    </w:p>
    <w:p>
      <w:r>
        <w:t>Pages translated : 2</w:t>
      </w:r>
    </w:p>
    <w:p/>
    <w:p>
      <w:r>
        <w:rPr>
          <w:b/>
        </w:rPr>
        <w:t>[Pages 1–2]</w:t>
      </w:r>
    </w:p>
    <w:p>
      <w:r>
        <w:t xml:space="preserve">FRENCH REPUBLIC  </w:t>
        <w:br/>
        <w:t xml:space="preserve">Decision No. 21-DCC-232 of November 26, 2021  </w:t>
        <w:br/>
        <w:t xml:space="preserve">regarding the joint control acquisition of the company Frontal by the  </w:t>
        <w:br/>
        <w:t xml:space="preserve">companies Livio and ITM Entreprises  </w:t>
        <w:br/>
        <w:t>The Competition Authority,</w:t>
      </w:r>
    </w:p>
    <w:p>
      <w:r>
        <w:t xml:space="preserve">Having regard to the complete notification file sent to the mergers department on November 8, 2021,  </w:t>
        <w:br/>
        <w:t xml:space="preserve">regarding the joint control acquisition of the company Frontal by the companies Livio and  </w:t>
        <w:br/>
        <w:t>ITM Entreprises, formalized by a letter of intent dated October 29, 2021;</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joint control acquisition by the companies Livio and  </w:t>
        <w:br/>
        <w:t xml:space="preserve">ITM Entreprises of the company Frontal, which operates a food-dominant business fund of the hypermarket type under the brand "Intermarché" with an area of 2,500 m² located in Fronton (31).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Single Article: The operation notified under number 21-273 is authorized.  </w:t>
        <w:br/>
        <w:t xml:space="preserve">The acting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