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https://www.autoritedelaconcurrence.fr/fr/decision-de-controle-des-concentrations/relative-la-prise-de-controle-conjoint-de-la-societe-176</w:t>
      </w:r>
    </w:p>
    <w:p>
      <w:r>
        <w:t>Pages translated : 2</w:t>
      </w:r>
    </w:p>
    <w:p/>
    <w:p>
      <w:r>
        <w:rPr>
          <w:b/>
        </w:rPr>
        <w:t>[Pages 1–2]</w:t>
      </w:r>
    </w:p>
    <w:p>
      <w:r>
        <w:t xml:space="preserve">FRENCH REPUBLIC  </w:t>
        <w:br/>
        <w:t xml:space="preserve">Decision No. 21-DCC-222 of November 25, 2021  </w:t>
        <w:br/>
        <w:t xml:space="preserve">regarding the joint control acquisition of the company Mirville, by the  </w:t>
        <w:br/>
        <w:t xml:space="preserve">company Tekate and ITM Entreprises  </w:t>
        <w:br/>
        <w:t xml:space="preserve">The Competition Authority,  </w:t>
        <w:br/>
        <w:t xml:space="preserve">Having regard to the complete notification file sent to the mergers department on November 9, 2021, concerning  </w:t>
        <w:br/>
        <w:t xml:space="preserve">the joint control acquisition of the company Mirville by the company Tekate and ITM Entreprises, formalized  </w:t>
        <w:br/>
        <w:t xml:space="preserve">by a letter of intent dated September 14, 2021;  </w:t>
        <w:br/>
        <w:t xml:space="preserve">Having regard to Book IV of the Commercial Code relating to the freedom of prices and competition, and in particular its  </w:t>
        <w:br/>
        <w:t xml:space="preserve">articles L. 430-1 to L. 430-7;  </w:t>
        <w:br/>
        <w:t xml:space="preserve">Adopts the following decision:  </w:t>
        <w:br/>
        <w:t xml:space="preserve">1. The notified operation consists of the joint control acquisition by the company Tekate and ITM Entreprises of  </w:t>
        <w:br/>
        <w:t xml:space="preserve">the company Mirville, which operates a food-oriented business fund of the hypermarket type under the brand "Intermarché" with a surface area of 3,622 m² located in Château-d’Olonne (85). It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21-275 is authorized.  </w:t>
        <w:br/>
        <w:t xml:space="preserve">The interim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