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https://www.autoritedelaconcurrence.fr/fr/decision-de-controle-des-concentrations/relative-la-prise-de-controle-conjoint-de-la-societe-178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21-DCC-259 of December 29, 2021  </w:t>
        <w:br/>
        <w:t xml:space="preserve">regarding the joint control of the company Distriper by the  </w:t>
        <w:br/>
        <w:t xml:space="preserve">Coopérative U Enseigne and Mr. Didier Cantero  </w:t>
        <w:br/>
        <w:t xml:space="preserve">The Competition Authority,  </w:t>
        <w:br/>
        <w:t xml:space="preserve">Having regard to the notification file submitted in full to the concentrations service on  </w:t>
        <w:br/>
        <w:t xml:space="preserve">December 13, 2021, concerning the joint control by the Coopérative U Enseigne  </w:t>
        <w:br/>
        <w:t xml:space="preserve">and Mr. Didier Cantero, through the company Raphroma, of the company Distriper,  </w:t>
        <w:br/>
        <w:t xml:space="preserve">formalized by a memorandum of understanding dated November 15, 2021, and a letter of approval dated  </w:t>
        <w:br/>
        <w:t xml:space="preserve">November 30, 2021;  </w:t>
        <w:br/>
        <w:t xml:space="preserve">Having regard to Book IV of the Commercial Code concerning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joint control by the Coopérative U  </w:t>
        <w:br/>
        <w:t xml:space="preserve">Enseigne and Mr. Didier Cantero of the company Distriper, which operates a retail business  </w:t>
        <w:br/>
        <w:t xml:space="preserve">primarily focused on food of the hypermarket type with an area of 2,642 m² under the  </w:t>
        <w:br/>
        <w:t xml:space="preserve">Super U brand located in Perpignan (66).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related to retail trade mentioned in II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21-300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