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https://www.autoritedelaconcurrence.fr/fr/decision-de-controle-des-concentrations/relative-la-prise-de-controle-conjoint-de-la-societe-179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22-DCC-08 of January 24, 2022  </w:t>
        <w:br/>
        <w:t xml:space="preserve">regarding the joint control acquisition of the company Cedezac by the  </w:t>
        <w:br/>
        <w:t xml:space="preserve">companies Nimas and ITM Entreprises  </w:t>
        <w:br/>
        <w:t xml:space="preserve">The Competition Authority,  </w:t>
        <w:br/>
        <w:t xml:space="preserve">Having regard to the complete notification file sent to the mergers department on January 4, 2022,  </w:t>
        <w:br/>
        <w:t xml:space="preserve">concerning the joint control acquisition of the company Cedezac by the companies Nimas and ITM  </w:t>
        <w:br/>
        <w:t xml:space="preserve">Entreprises, formalized by a letter of intent dated December 17, 2021;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by the companies Nimas and ITM  </w:t>
        <w:br/>
        <w:t xml:space="preserve">Entreprises of the company Cedezac, which operates a business establishment primarily in the  </w:t>
        <w:br/>
        <w:t xml:space="preserve">food sector of supermarket type under the Netto brand with an area of 650 m² located in Saint  </w:t>
        <w:br/>
        <w:t xml:space="preserve">André de Cubzac (33). It constitutes a concentration operation within the meaning of Article L. 430-1  </w:t>
        <w:br/>
        <w:t xml:space="preserve">of the Commercial Code. Given the turnover achieved by the companies involved, the operation does  </w:t>
        <w:br/>
        <w:t xml:space="preserve">not fall under the jurisdiction of the European Union. On the other hand, the retail control thresholds  </w:t>
        <w:br/>
        <w:t xml:space="preserve">mentioned in II of Article L. 430-2 of the Commercial Code are exceeded. This operation is therefore  </w:t>
        <w:br/>
        <w:t xml:space="preserve">subject to the provisions of Articles L. 430-3 and following of the Commercial Code relating to  </w:t>
        <w:br/>
        <w:t xml:space="preserve">economic concentration.  </w:t>
        <w:br/>
        <w:t xml:space="preserve">2. In light of the elements of the file, the operation is not likely to harm competition in the  </w:t>
        <w:br/>
        <w:t>relevant markets.</w:t>
      </w:r>
    </w:p>
    <w:p>
      <w:r>
        <w:t xml:space="preserve">DECIDES  </w:t>
        <w:br/>
        <w:t xml:space="preserve">Sole Article: The operation notified under number 22-004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