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11-DCC-204 of December 20, 2011  </w:t>
        <w:br/>
        <w:t xml:space="preserve">regarding the joint control of the company Sovadis by the  </w:t>
        <w:br/>
        <w:t xml:space="preserve">company Somapan Distribution alongside the Carrefour group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1, 2011, concerning the joint control of the company Sovadis by the company  </w:t>
        <w:br/>
        <w:t xml:space="preserve">Somapan Distribution alongside the Carrefour group, materialized by sales promises dated  </w:t>
        <w:br/>
        <w:t xml:space="preserve">July 8 and October 6,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of the company Sovadis operating  </w:t>
        <w:br/>
        <w:t xml:space="preserve">three retail businesses predominantly selling food under the Carrefour market brand located in Les Vans (07), Joyeuse (07), and Bessèges (30), as well as a business under the Ed brand, located in Les Vans (07), by the company Somapan Distribution, active in the same sector, alongside the Carrefour group. It constitutes a concentration operation within the meaning of Article L. 430-1 of the Commercial Code. Given the turnover achieved by the companies concerned, the operation does not have a community dimension. On the other hand,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11-0235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