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https://www.autoritedelaconcurrence.fr/fr/decision-de-controle-des-concentrations/relative-la-prise-de-controle-conjoint-de-la-societe-182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22-DCC-18 of February 10, 2022  </w:t>
        <w:br/>
        <w:t xml:space="preserve">regarding the joint control acquisition of the company Bermasyl by the  </w:t>
        <w:br/>
        <w:t xml:space="preserve">companies Desvignes, Belisa, and ITM Entreprises  </w:t>
        <w:br/>
        <w:t xml:space="preserve">The Competition Authority,  </w:t>
        <w:br/>
        <w:t xml:space="preserve">Having regard to the complete notification file sent to the mergers department on January 25, 2022,  </w:t>
        <w:br/>
        <w:t xml:space="preserve">concerning the joint control acquisition of the company Bermasyl by the companies Desvignes, Belisa,  </w:t>
        <w:br/>
        <w:t xml:space="preserve">and ITM Entreprises, formalized by a share transfer agreement dated  </w:t>
        <w:br/>
        <w:t xml:space="preserve">December 14,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Desvignes, Belisa  </w:t>
        <w:br/>
        <w:t xml:space="preserve">and ITM Entreprises of the company Bermasyl, which operates a retail business primarily in food of the hypermarket type under the Intermarché brand with a surface area of 2,555 m² located in  </w:t>
        <w:br/>
        <w:t xml:space="preserve">Chalon-sur-Saône (71). It constitutes a concentration operation within the meaning of Article  </w:t>
        <w:br/>
        <w:t xml:space="preserve">L. 430-1 of the Commercial Code. Given the turnover achieved by the companies involved,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