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https://www.autoritedelaconcurrence.fr/fr/decision-de-controle-des-concentrations/relative-la-prise-de-controle-conjoint-de-la-societe-185</w:t>
      </w:r>
    </w:p>
    <w:p>
      <w:r>
        <w:t>Pages translated : 2</w:t>
      </w:r>
    </w:p>
    <w:p/>
    <w:p>
      <w:r>
        <w:rPr>
          <w:b/>
        </w:rPr>
        <w:t>[Pages 1–2]</w:t>
      </w:r>
    </w:p>
    <w:p>
      <w:r>
        <w:t xml:space="preserve">FRENCH REPUBLIC  </w:t>
        <w:br/>
        <w:t xml:space="preserve">Decision No. 22-DCC-37 of March 24, 2022  </w:t>
        <w:br/>
        <w:t xml:space="preserve">regarding the joint control acquisition of the company Géophoros Aix Saint-Jérôme by the companies Bouygues Immobilier and Omnes Capital  </w:t>
        <w:br/>
        <w:t xml:space="preserve">The Competition Authority,  </w:t>
        <w:br/>
        <w:t xml:space="preserve">Having regard to the complete notification file submitted to the mergers department on March 9, 2022, concerning the joint control acquisition of the company Géophoros Aix Saint-Jérôme by the companies Bouygues Immobilier and Omnes Capital, formalized by the conclusion of a conditional shareholders' agreement promise signed on October 22, 2021;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by the companies Bouygues Immobilier and Omnes Capital of real estate assets located in Aix-en-Provence via the company Geophoros Aix Saint-Jérôme. It constitutes a concentration operation within the meaning of Article L. 430-1 of the Commercial Code. Given the turnover achieved by the companies involved,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22-010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