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https://www.autoritedelaconcurrence.fr/fr/decision-de-controle-des-concentrations/relative-la-prise-de-controle-conjoint-de-la-societe-186</w:t>
      </w:r>
    </w:p>
    <w:p>
      <w:r>
        <w:t>Pages translated : 2</w:t>
      </w:r>
    </w:p>
    <w:p/>
    <w:p>
      <w:r>
        <w:rPr>
          <w:b/>
        </w:rPr>
        <w:t>[Pages 1–2]</w:t>
      </w:r>
    </w:p>
    <w:p>
      <w:r>
        <w:t xml:space="preserve">FRENCH REPUBLIC  </w:t>
        <w:br/>
        <w:t xml:space="preserve">Decision No. 22-DCC-56 of April 22, 2022  </w:t>
        <w:br/>
        <w:t xml:space="preserve">regarding the joint control acquisition of the company Octopus Energy Group Limited by the companies Canada Pension Plan Investment Board, Octopus Capital Limited, Origin Energy International Holdings Pty Ltd., and Generation Investment Management  </w:t>
        <w:br/>
        <w:t xml:space="preserve">The Competition Authority,  </w:t>
        <w:br/>
        <w:t xml:space="preserve">Having regard to the complete notification file submitted to the mergers department on April 6, 2022, concerning the joint control acquisition of the company Octopus Energy Group Limited by the companies Canada Pension Plan Investment Board, Octopus Capital Limited, Origin Energy International Holdings Pty Ltd., and Generation Investment Management, formalized by a share subscription agreement dated December 8, 2021, and a shareholders' agreement dated December 16,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Canada Pension Plan Investment Board, Octopus Capital Limited, Origin Energy International Holdings Pty Ltd., and Generation Investment Management of the company Octopus Energy Group Limited, active in the energy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22-077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