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https://www.autoritedelaconcurrence.fr/fr/decision-de-controle-des-concentrations/relative-la-prise-de-controle-conjoint-de-la-societe-187</w:t>
      </w:r>
    </w:p>
    <w:p>
      <w:r>
        <w:t>Pages translated : 2</w:t>
      </w:r>
    </w:p>
    <w:p/>
    <w:p>
      <w:r>
        <w:rPr>
          <w:b/>
        </w:rPr>
        <w:t>[Pages 1–2]</w:t>
      </w:r>
    </w:p>
    <w:p>
      <w:r>
        <w:t xml:space="preserve">FRENCH REPUBLIC  </w:t>
        <w:br/>
        <w:t xml:space="preserve">Decision No. 22-DCC-130 of July 18, 2022  </w:t>
        <w:br/>
        <w:t xml:space="preserve">regarding the joint control acquisition of the company TagEnergy by  </w:t>
        <w:br/>
        <w:t xml:space="preserve">TagTeam, Mirova, Omnes Capital, and Impala  </w:t>
        <w:br/>
        <w:t xml:space="preserve">The Competition Authority,  </w:t>
        <w:br/>
        <w:t xml:space="preserve">Having regard to the notification file submitted in full to the mergers department on June 22, 2022,  </w:t>
        <w:br/>
        <w:t xml:space="preserve">concerning the joint control acquisition of TagEnergy by TagTeam, Mirova, Omnes Capital, and  </w:t>
        <w:br/>
        <w:t xml:space="preserve">Impala, formalized by the investment agreement of April 2, 2022, and amended on June 9, 2022;  </w:t>
        <w:br/>
        <w:t xml:space="preserve">Having regard to Book IV of the Commercial Code relating to the freedom of prices and competition, and  </w:t>
        <w:br/>
        <w:t xml:space="preserve">notably its Articles L. 430-1 to L. 430-7;  </w:t>
        <w:br/>
        <w:t xml:space="preserve">Having regard to the additional elements submitted by the notifying party during the investigation;  </w:t>
        <w:br/>
        <w:t xml:space="preserve">Having regard to the other documents in the file;  </w:t>
        <w:br/>
        <w:t xml:space="preserve">Adopts the following decision:  </w:t>
        <w:br/>
        <w:t xml:space="preserve">1. The notified operation consists of the joint control acquisition of the company TagEnergy by  </w:t>
        <w:br/>
        <w:t xml:space="preserve">TagTeam, Mirova, Omnes Capital, and Impala. TagEnergy is active in the renewable energy sector.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DECISION  </w:t>
        <w:br/>
        <w:t xml:space="preserve">Sole Article: The operation notified under number 22-124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