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https://www.autoritedelaconcurrence.fr/fr/decision-de-controle-des-concentrations/relative-la-prise-de-controle-conjoint-de-la-societe-188</w:t>
      </w:r>
    </w:p>
    <w:p>
      <w:r>
        <w:t>Pages translated : 2</w:t>
      </w:r>
    </w:p>
    <w:p/>
    <w:p>
      <w:r>
        <w:rPr>
          <w:b/>
        </w:rPr>
        <w:t>[Pages 1–2]</w:t>
      </w:r>
    </w:p>
    <w:p>
      <w:r>
        <w:t xml:space="preserve">FRENCH REPUBLIC  </w:t>
        <w:br/>
        <w:t xml:space="preserve">Decision No. 22-DCC-136 of July 21, 2022  </w:t>
        <w:br/>
        <w:t xml:space="preserve">regarding the joint control acquisition of the company Gregadis by the  </w:t>
        <w:br/>
        <w:t xml:space="preserve">Carrefour group and the Dervillez consortium  </w:t>
        <w:br/>
        <w:t xml:space="preserve">The Competition Authority,  </w:t>
        <w:br/>
        <w:t xml:space="preserve">Having regard to the complete notification file sent to the mergers department on June 27, 2022,  </w:t>
        <w:br/>
        <w:t xml:space="preserve">concerning the joint control acquisition of the company Gregadis by the operating company Amidis  </w:t>
        <w:br/>
        <w:t xml:space="preserve">et Compagnie, a subsidiary of the Carrefour group, and the Dervillez consortium, formalized by a  </w:t>
        <w:br/>
        <w:t xml:space="preserve">promise of sale of business assets dated May 19, 2022, signed by all parties.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w:t>
        <w:br/>
        <w:t xml:space="preserve">investigation;  </w:t>
        <w:br/>
        <w:t xml:space="preserve">Adopts the following decision:  </w:t>
        <w:br/>
        <w:t xml:space="preserve">1. The notified operation consists of the joint control acquisition by the Carrefour group and the  </w:t>
        <w:br/>
        <w:t xml:space="preserve">Dervillez consortium of the company Gregadis, which operates a retail business primarily focused on food under the "Carrefour Market" brand located in Grand Champ (56). It constitutes a concentration operation within the meaning of Article L. 430-1 of the Commercial Code.  </w:t>
        <w:br/>
        <w:t xml:space="preserve">Considering the turnover generated by the companies involved, the operation does not fall under the jurisdiction of the European Union. However, the retail control thresholds mentioned in II of Article L. 430-2 of the Commercial Code are exceeded.  </w:t>
        <w:br/>
        <w:t xml:space="preserve">This operation is therefore subject to the provisions of Articles L. 430-3 and following of the  </w:t>
        <w:br/>
        <w:t xml:space="preserve">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22-156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