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https://www.autoritedelaconcurrence.fr/fr/decision-de-controle-des-concentrations/relative-la-prise-de-controle-conjoint-de-la-societe-189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22-DCC-137 of July 27, 2022  </w:t>
        <w:br/>
        <w:t xml:space="preserve">regarding the joint control acquisition of the company Nikinter by the  </w:t>
        <w:br/>
        <w:t xml:space="preserve">companies Matyl and ITM Entreprises  </w:t>
        <w:br/>
        <w:t xml:space="preserve">The Competition Authority,  </w:t>
        <w:br/>
        <w:t xml:space="preserve">Having regard to the complete notification file sent to the mergers department on July 1, 2022,  </w:t>
        <w:br/>
        <w:t xml:space="preserve">concerning the joint control acquisition of the company Nikinter by the companies Matyl and ITM  </w:t>
        <w:br/>
        <w:t xml:space="preserve">Entreprises, formalized by a letter of intent dated June 23,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Matyl and ITM  </w:t>
        <w:br/>
        <w:t xml:space="preserve">Entreprises of the company Nikinter, which operates a business primarily in the food sector of the  </w:t>
        <w:br/>
        <w:t xml:space="preserve">hypermarket type under the Intermarché brand with a surface area of 2650 m² located in  </w:t>
        <w:br/>
        <w:t xml:space="preserve">Parentis en Born (40). It constitutes a concentration operation within the meaning of Article L. 430-1  </w:t>
        <w:br/>
        <w:t xml:space="preserve">of the Commercial Code. Given the turnover achieved by the companies involved, the operation does  </w:t>
        <w:br/>
        <w:t xml:space="preserve">not fall under the jurisdiction of the European Union. On the other hand, the control thresholds related  </w:t>
        <w:br/>
        <w:t xml:space="preserve">to retail trade mentioned in II of Article L. 430-2 of the Commercial Code are exceeded. This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22-168 is authorized.  </w:t>
        <w:br/>
        <w:t xml:space="preserve">The Vice-President,  </w:t>
        <w:br/>
        <w:t xml:space="preserve">Fabienne Siredey-Garnier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