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https://www.autoritedelaconcurrence.fr/fr/decision-de-controle-des-concentrations/relative-la-prise-de-controle-conjoint-de-la-societe-19</w:t>
      </w:r>
    </w:p>
    <w:p>
      <w:r>
        <w:t>Pages translated : 2</w:t>
      </w:r>
    </w:p>
    <w:p/>
    <w:p>
      <w:r>
        <w:rPr>
          <w:b/>
        </w:rPr>
        <w:t>[Pages 1–2]</w:t>
      </w:r>
    </w:p>
    <w:p>
      <w:r>
        <w:t xml:space="preserve">FRENCH REPUBLIC  </w:t>
        <w:br/>
        <w:t xml:space="preserve">Decision No. 11-DCC-212 of December 22, 2011  </w:t>
        <w:br/>
        <w:t xml:space="preserve">regarding the joint control acquisition of the company Financière Fruitelia by the companies Industries et Finances Partenaires, Financière Jugaël, and Finalyor  </w:t>
        <w:br/>
        <w:t xml:space="preserve">The Competition Authority,  </w:t>
        <w:br/>
        <w:t xml:space="preserve">Having regard to the complete notification file submitted to the mergers department on December 1, 2011, concerning the joint control acquisition of the company Financière Fruitelia by the companies Industries et Finances Partenaires, Financière Jugaël, and Finalyor, formalized by a memorandum of understanding dated November 30, 2011;  </w:t>
        <w:br/>
        <w:t xml:space="preserve">Having regard to Book IV of the Commercial Code relating to the freedom of prices and competition, and in particular its Articles L. 430-1 to L. 430-7;  </w:t>
        <w:br/>
        <w:t xml:space="preserve">Adopts the following decision:  </w:t>
        <w:br/>
        <w:t xml:space="preserve">1. The company Financière Fruitelia, active in the marketing sector of dried fruits, oilseeds, and products for desserts and pastry, is, prior to the operation, subject to joint control by the FCPR MBO Capital 2 and the holding companies Financière Jugaël and Finalyor. The notified operation consists of the joint control acquisition of Financière Fruitelia by the FCPR Industrie et Finance Investissements 2, managed and represented by the management company Industries et Finances Partenaires, alongside the companies Financière Jugaël and Finalyor. This operation constitutes a concentration operation within the meaning of Article L. 430-1 of the Commercial Code. Given the turnover achieved by the companies concerned, the operation does not have a community dimension. On the other hand,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11-228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