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https://www.autoritedelaconcurrence.fr/fr/decision-de-controle-des-concentrations/relative-la-prise-de-controle-conjoint-de-la-societe-192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22-DCC-195 of October 7, 2022  </w:t>
        <w:br/>
        <w:t xml:space="preserve">regarding the joint control acquisition of the company Maelyste by the  </w:t>
        <w:br/>
        <w:t xml:space="preserve">companies Tago and ITM Entreprises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21, 2022, concerning the joint control acquisition of the company Maelyste by the companies  </w:t>
        <w:br/>
        <w:t xml:space="preserve">Tago and ITM Entreprises, formalized by a share transfer agreement dated  </w:t>
        <w:br/>
        <w:t xml:space="preserve">September 19,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Tago and  </w:t>
        <w:br/>
        <w:t xml:space="preserve">ITM Entreprises of the company Maelyste, which operates a commercial establishment primarily  </w:t>
        <w:br/>
        <w:t xml:space="preserve">focused on food of the supermarket type under the Intermarché brand with a surface area of 660 m² located in  </w:t>
        <w:br/>
        <w:t xml:space="preserve">Lyon (69). It constitutes a concentration operation within the meaning of Article L. 430-1 of the Commercial  </w:t>
        <w:br/>
        <w:t xml:space="preserve">Code. Given the revenues generated by the companies concerned, the operation does not fall under the jurisdiction of the  </w:t>
        <w:br/>
        <w:t xml:space="preserve">European Union. On the other hand, the control thresholds related to retail trade mentioned in II of Article L. 430-2 of the  </w:t>
        <w:br/>
        <w:t xml:space="preserve">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22-243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