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https://www.autoritedelaconcurrence.fr/fr/decision-de-controle-des-concentrations/relative-la-prise-de-controle-conjoint-de-la-societe-194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22-DCC-235 of December 14, 2022  </w:t>
        <w:br/>
        <w:t xml:space="preserve">regarding the joint control acquisition of the company Logistic’œuf by the  </w:t>
        <w:br/>
        <w:t>Pampr’œuf group and the Terrena group</w:t>
      </w:r>
    </w:p>
    <w:p>
      <w:r>
        <w:t>The Competition Authority,</w:t>
      </w:r>
    </w:p>
    <w:p>
      <w:r>
        <w:t xml:space="preserve">Having regard to the complete notification file sent to the mergers department on  </w:t>
        <w:br/>
        <w:t xml:space="preserve">November 21, 2022, concerning the joint control acquisition of the company Logistic’œuf and its  </w:t>
        <w:br/>
        <w:t xml:space="preserve">subsidiaries by the Pampr’œuf group and the Terrena group, formalized by a letter of intent dated  </w:t>
        <w:br/>
        <w:t>July 28,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joint control acquisition by the Pampr’œuf group and the  </w:t>
        <w:br/>
        <w:t xml:space="preserve">Terrena group (through the company C2 développement), both active in the agricultural sector, of the company Logistic’œuf, active in the production and packaging of eggs and egg products.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22-238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