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https://www.autoritedelaconcurrence.fr/fr/decision-de-controle-des-concentrations/relative-la-prise-de-controle-conjoint-de-la-societe-196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22-DCC-255 of December 26, 2022  </w:t>
        <w:br/>
        <w:t xml:space="preserve">regarding the joint control acquisition of the company L’Estrade de  </w:t>
        <w:br/>
        <w:t xml:space="preserve">distribution by Mr. Bitton, Ms. Le Blanche, and the company Système U  </w:t>
        <w:br/>
        <w:t xml:space="preserve">Est  </w:t>
        <w:br/>
        <w:t xml:space="preserve">The Competition Authority,  </w:t>
        <w:br/>
        <w:t xml:space="preserve">Having regard to the complete notification file submitted to the mergers department on December 7, 2022,  </w:t>
        <w:br/>
        <w:t xml:space="preserve">regarding the joint control acquisition by the company Système U Est, Mr. Bitton, and  </w:t>
        <w:br/>
        <w:t xml:space="preserve">Ms. Le Blanche, of the company L’Estrade de distribution, formalized notably by a  </w:t>
        <w:br/>
        <w:t xml:space="preserve">memorandum of understanding dated December 17, 2021, and a probationary protocol dated April 15,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joint control of the company  </w:t>
        <w:br/>
        <w:t xml:space="preserve">L’Estrade de distribution, operating a food-dominant business of supermarket type with a sales area of 2204 m², under the Super U brand, in the city of  </w:t>
        <w:br/>
        <w:t xml:space="preserve">Craponne-sur-Arzon (43), by the company Système U Est, Mr. Bitton, and Ms. Le Blanche.  </w:t>
        <w:br/>
        <w:t xml:space="preserve">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control thresholds related to retail trade mentioned in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22-224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