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https://www.autoritedelaconcurrence.fr/fr/decision-de-controle-des-concentrations/relative-la-prise-de-controle-conjoint-de-la-societe-197</w:t>
      </w:r>
    </w:p>
    <w:p>
      <w:r>
        <w:t>Pages translated : 2</w:t>
      </w:r>
    </w:p>
    <w:p/>
    <w:p>
      <w:r>
        <w:rPr>
          <w:b/>
        </w:rPr>
        <w:t>[Pages 1–2]</w:t>
      </w:r>
    </w:p>
    <w:p>
      <w:r>
        <w:t xml:space="preserve">FRENCH REPUBLIC  </w:t>
        <w:br/>
        <w:t xml:space="preserve">Decision No. 23-DCC-13 of January 16, 2023  </w:t>
        <w:br/>
        <w:t xml:space="preserve">regarding the joint control acquisition of the company Menodis by Mr. and Mrs. Alagapin and the company Système U Est  </w:t>
        <w:br/>
        <w:t xml:space="preserve">The Competition Authority,  </w:t>
        <w:br/>
        <w:t xml:space="preserve">Having regard to the complete notification file sent to the mergers department on December 30, 2022, concerning the joint control acquisition of the company Menodis by Mr. and Mrs. Alagapin and the company Système U Est, formalized by a letter of intent dated November 12, 2021, and a probationary protocol dated March 4,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joint control acquisition by Mr. and Mrs. Alagapin and the company Système U Est of the company Menodis, which operates a retail business predominantly in food under the Super U brand with a surface area of 2,400 m² located in Bonne-sur-Ménoge (74). It constitutes a concentration operation within the meaning of Article L. 430-1 of the Commercial Code. Given the revenues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22-325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