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https://www.autoritedelaconcurrence.fr/fr/decision-de-controle-des-concentrations/relative-la-prise-de-controle-conjoint-de-la-societe-199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23-DCC-26 of February 2, 2023  </w:t>
        <w:br/>
        <w:t xml:space="preserve">regarding the joint control acquisition of the company Marvingil by the  </w:t>
        <w:br/>
        <w:t xml:space="preserve">companies Alouma and ITM Entreprises  </w:t>
        <w:br/>
        <w:t xml:space="preserve">The Competition Authority,  </w:t>
        <w:br/>
        <w:t xml:space="preserve">Having regard to the complete notification file submitted to the mergers department on January 17, 2023,  </w:t>
        <w:br/>
        <w:t xml:space="preserve">concerning the joint control acquisition of the company Marvingil by the companies Alouma and  </w:t>
        <w:br/>
        <w:t xml:space="preserve">ITM Entreprises, formalized by a letter of intent signed on September 8,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Alouma and  </w:t>
        <w:br/>
        <w:t xml:space="preserve">ITM Entreprises of the company Marvingil, which operates a business asset primarily in the  </w:t>
        <w:br/>
        <w:t xml:space="preserve">food sector of supermarket type under the Intermarché brand with a surface area of 2,450 m² located in  </w:t>
        <w:br/>
        <w:t xml:space="preserve">Aulnay-sous-Bois (93).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 </w:t>
        <w:br/>
        <w:t xml:space="preserve">control thresholds related to retail trade mentioned in II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23-012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