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w:t>
      </w:r>
    </w:p>
    <w:p>
      <w:r>
        <w:t>Pages translated : 2</w:t>
      </w:r>
    </w:p>
    <w:p/>
    <w:p>
      <w:r>
        <w:rPr>
          <w:b/>
        </w:rPr>
        <w:t>[Pages 1–2]</w:t>
      </w:r>
    </w:p>
    <w:p>
      <w:r>
        <w:t xml:space="preserve">FRENCH REPUBLIC  </w:t>
        <w:br/>
        <w:t xml:space="preserve">Decision No. 11-DCC-50 of April 4, 2011  </w:t>
        <w:br/>
        <w:t xml:space="preserve">regarding the joint control acquisition of the company Maurevar by the  </w:t>
        <w:br/>
        <w:t xml:space="preserve">company ITM Entreprises and the Heir family  </w:t>
        <w:br/>
        <w:t xml:space="preserve">The Competition Authority,  </w:t>
        <w:br/>
        <w:t xml:space="preserve">Having regard to the complete notification file sent to the mergers department on March 10, 2011,  </w:t>
        <w:br/>
        <w:t xml:space="preserve">concerning the acquisition of the company Maurevar SAS by the company ITM Entreprises and the Heir family, formalized by the adoption by the company Maurevar of the SAS Groupement statutes;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adoption by the company Maurevar, which directly operates a retail outlet under the Intermarché brand in the city of La Seyne Sur Mer (83), of the new statutes "SAS Groupement," granting joint control to the company ITM Entreprises. This operation constitutes a concentration operation within the meaning of Article L. 430-1 of the Commercial Code. Given the turnover achieved by the companies involved,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11-0046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