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https://www.autoritedelaconcurrence.fr/fr/decision-de-controle-des-concentrations/relative-la-prise-de-controle-conjoint-de-la-societe-202</w:t>
      </w:r>
    </w:p>
    <w:p>
      <w:r>
        <w:t>Pages translated : 2</w:t>
      </w:r>
    </w:p>
    <w:p/>
    <w:p>
      <w:r>
        <w:rPr>
          <w:b/>
        </w:rPr>
        <w:t>[Pages 1–2]</w:t>
      </w:r>
    </w:p>
    <w:p>
      <w:r>
        <w:t xml:space="preserve">FRENCH REPUBLIC  </w:t>
        <w:br/>
        <w:t xml:space="preserve">Decision No. 23-DCC-79 of April 27, 2023  </w:t>
        <w:br/>
        <w:t xml:space="preserve">regarding the joint control acquisition of Equator Energy Limited by STOA, IBL Energy Holdings Ltd, Maris Limited, and Nvision Engineering Ltd  </w:t>
        <w:br/>
        <w:t xml:space="preserve">The Competition Authority,  </w:t>
        <w:br/>
        <w:t xml:space="preserve">Having regard to the complete notification file submitted to the mergers department on April 3, 2023, concerning the joint control acquisition of Equator Energy Limited by STOA, IBL Energy Holdings Ltd, Maris Limited, and Nvision Engineering Ltd, and formalized by a share purchase agreement dated March 20, 2023;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joint control acquisition by STOA, IBL Energy Holdings Ltd, Maris Limited, and Nvision Engineering Ltd of Equator Energy Limited. The latter is active in the energy sector in East Africa.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23-064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