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https://www.autoritedelaconcurrence.fr/fr/decision-de-controle-des-concentrations/relative-la-prise-de-controle-conjoint-de-la-societe-205</w:t>
      </w:r>
    </w:p>
    <w:p>
      <w:r>
        <w:t>Pages translated : 31</w:t>
      </w:r>
    </w:p>
    <w:p/>
    <w:p>
      <w:r>
        <w:rPr>
          <w:b/>
        </w:rPr>
        <w:t>[Pages 1–3]</w:t>
      </w:r>
    </w:p>
    <w:p>
      <w:r>
        <w:t>FRENCH REPUBLIC</w:t>
        <w:br/>
        <w:t>Decision No. 23-DCC-77 of May 16, 2023</w:t>
        <w:br/>
        <w:t>regarding the joint control of the company Cityscoot by the</w:t>
        <w:br/>
        <w:t>company RATP Capital Innovation and the CDC</w:t>
        <w:br/>
        <w:t>The Competition Authority,</w:t>
        <w:br/>
        <w:t>Having regard to the notification file submitted to the merger service on July 26, 2022, declared complete on December 19, 2022, concerning the joint control of the company Cityscoot by the company RATP Capital Innovation and the CDC, formalized by a conciliation protocol approved by the Commercial Court of Paris on September 20, 2022;</w:t>
        <w:br/>
        <w:t>Having regard to Book IV of the Commercial Code concerning price and competition freedom, and in particular its Articles L. 430-1 to L. 430-7;</w:t>
        <w:br/>
        <w:t>Having regard to the additional elements submitted by the notifying party during the investigation;</w:t>
        <w:br/>
        <w:t>Having regard to the other documents in the file;</w:t>
        <w:br/>
        <w:t>Adopts the following decision:</w:t>
      </w:r>
    </w:p>
    <w:p>
      <w:r>
        <w:t>Summary1</w:t>
        <w:br/>
        <w:t>By this decision, the Authority examined the joint control by RATP Capital Innovation (hereinafter, "RATP CI") and the Caisse des dépôts et consignations (hereinafter, "CDC") of the company Cityscoot.</w:t>
        <w:br/>
        <w:t>RATP CI is a subsidiary of the public industrial and commercial establishment of the Régie Autonome des Transports Parisiens (hereinafter, "RATP"). The RATP engages in public passenger transport activities primarily in France and holds a monopoly on several modes of transport in Île-de-France. The RATP is also active in the shared mobility sector and in the mobility by service association (hereinafter, "MAS")2.</w:t>
        <w:br/>
        <w:t>The CDC is a public establishment that fulfills missions of general interest, supporting public policies conducted by the State and local authorities. The CDC engages in activities open to competition, including urban and interurban public passenger transport through the company Transdev.</w:t>
        <w:br/>
        <w:t>The company Cityscoot provides self-service electric scooter services. It operates in Paris and several cities in the inner suburbs of Paris.</w:t>
        <w:br/>
        <w:t>Given the activities of the parties, the Authority examined the risks (i) of vertical effects between the downstream markets for the provision of shared mobility services and those for the distribution of MAS services, (ii) of conglomerate effects between the public transport services of the parent companies and the self-service scooter services of the target both upstream and downstream, and (iii) of coordination between the parent companies in the public passenger transport markets.</w:t>
        <w:br/>
        <w:t>At the end of the competitive analysis, the Authority ruled out any risk of harm to competition regarding the vertical effects between the downstream markets for the provision of shared mobility services and those for the distribution of MAS services, given the legal framework governing the relationships between mobility operators and MAS operators.</w:t>
        <w:br/>
        <w:t>Regarding the conglomerate effects, particularly considering the applicable legal framework, the Authority concluded that the parent companies would neither have the capacity nor the incentive to implement a tying strategy between public transport services and the self-service scooter services of the target. The Authority also ruled out any risk related to the data that RATP holds in the context of its public transport activity under monopoly for the development of the target's activities due to the legal and contractual provisions related to their use.</w:t>
        <w:br/>
        <w:t>Finally, the Authority ruled out any risk of coordination among the parent companies in the public passenger transport markets where the parent companies are simultaneously present, given the limited activity of the target compared to the activities of the parent companies and the competitive context in which they operate in these markets.</w:t>
        <w:br/>
        <w:t>The Authority therefore authorized the operation unconditionally.</w:t>
        <w:br/>
        <w:t>1 This summary is strictly informative. Only the reasons for the decision numbered below are authoritative.</w:t>
        <w:br/>
        <w:t>2 Mobility by service association can combine different modes of transport among those available, such as public transport, taxi, chauffeur-driven car, carpooling, car-sharing, bicycle, or electric scooter.</w:t>
      </w:r>
    </w:p>
    <w:p>
      <w:r>
        <w:t>TABLE OF CONTENTS</w:t>
        <w:br/>
        <w:t>I. THE COMPANIES CONCERNED AND THE OPERATION .............. 5</w:t>
        <w:br/>
        <w:t>A. THE COMPANIES CONCERNED ..........................................................................5</w:t>
        <w:br/>
        <w:t>B. THE OPERATION ...............................................................................................................6</w:t>
        <w:br/>
        <w:t>II. DELIMITATION OF THE RELEVANT MARKETS ........................... 6</w:t>
        <w:br/>
        <w:t>A. THE MARKETS FOR PUBLIC PASSENGER TRANSPORT ............................7</w:t>
        <w:br/>
        <w:t>1. THE UPSTREAM MARKETS FOR PUBLIC PASSENGER TRANSPORT .............................7</w:t>
        <w:br/>
        <w:t>a) Public transport of passengers in Île-de-France ............................. 8</w:t>
        <w:br/>
        <w:t>Service markets ...............................................................................................8</w:t>
        <w:br/>
        <w:t>Geographical markets .........................................................................................8</w:t>
        <w:br/>
        <w:t>b) Public transport of passengers outside Île-de-France .......................... 9</w:t>
        <w:br/>
        <w:t>Service markets ...............................................................................................9</w:t>
        <w:br/>
        <w:t>Geographical markets .......................................................................................10</w:t>
        <w:br/>
        <w:t>2. THE DOWNSTREAM MARKETS FOR THE PROVISION OF PUBLIC PASSENGER TRANSPORT ..............................................................................................................11</w:t>
        <w:br/>
        <w:t>a) Service markets ................................................................................ 11</w:t>
        <w:br/>
        <w:t>b) Geographical markets .......................................................................... 11</w:t>
        <w:br/>
        <w:t>B. THE MARKETS FOR SHARED MOBILITY ..................................................12</w:t>
        <w:br/>
        <w:t>1. THE UPSTREAM MARKETS FOR SHARED MOBILITY ..............................................12</w:t>
        <w:br/>
        <w:t>a) Service markets ................................................................................ 12</w:t>
        <w:br/>
        <w:t>b) Geographical markets .......................................................................... 14</w:t>
        <w:br/>
        <w:t>2. THE DOWNSTREAM MARKETS FOR THE PROVISION OF SHARED MOBILITY SERVICES ................................................................................................................14</w:t>
        <w:br/>
        <w:t>a) Service markets ................................................................................ 14</w:t>
        <w:br/>
        <w:t>b) Geographical markets .......................................................................... 15</w:t>
        <w:br/>
        <w:t>C. THE MARKETS FOR MOBILITY BY SERVICE ASSOCIATION ........15</w:t>
        <w:br/>
        <w:t>1. THE MARKETS FOR THE DEVELOPMENT OF MOBILITY BY SERVICE ASSOCIATION .............................................................................................................16</w:t>
        <w:br/>
        <w:t>a) Service markets ................................................................................ 16</w:t>
        <w:br/>
        <w:t>b) Geographical markets .......................................................................... 17</w:t>
        <w:br/>
        <w:t>2. THE DOWNSTREAM MARKETS FOR THE DISTRIBUTION OF MOBILITY BY SERVICE ASSOCIATION SERVICES .....................................................................................17</w:t>
        <w:br/>
        <w:t>a) Service markets ................................................................................ 17</w:t>
        <w:br/>
        <w:t>b) Geographical markets .......................................................................... 18</w:t>
        <w:br/>
        <w:t>III. COMPETITIVE ANALYSIS .................................................... 18</w:t>
        <w:br/>
        <w:t>A. ANALYSIS OF VERTICAL EFFECTS ....................................................................19</w:t>
      </w:r>
    </w:p>
    <w:p>
      <w:r>
        <w:rPr>
          <w:b/>
        </w:rPr>
        <w:t>[Pages 4–6]</w:t>
      </w:r>
    </w:p>
    <w:p>
      <w:r>
        <w:t>1. LOCKING OF OUTLETS ..................................................................................20</w:t>
        <w:br/>
        <w:t>a) Regarding services allowing referencing ...........................................20</w:t>
        <w:br/>
        <w:t>Regarding the refusal of referencing on mobility services by association of RATP services ...........................................................................................................20</w:t>
        <w:br/>
        <w:t>Regarding the degradation of referencing conditions on mobility services by association of RATP services ..................................................................................21</w:t>
        <w:br/>
        <w:t>b) Regarding services allowing distribution ...........................................21</w:t>
        <w:br/>
        <w:t>Regarding the refusal of distribution on mobility services by association of RATP services ...........................................................................................................22</w:t>
        <w:br/>
        <w:t>Regarding the degradation of distribution conditions on mobility services by association of RATP services ..................................................................................22</w:t>
        <w:br/>
        <w:t>2. LOCKING OF INPUTS ..................................................................................23</w:t>
        <w:br/>
        <w:t>a) Regarding the referencing of Cityscoot services by mobility services by association of services ..................................................................................23</w:t>
        <w:br/>
        <w:t>b) Regarding the distribution of Cityscoot services by mobility services by association of services ..................................................................................24</w:t>
        <w:br/>
        <w:t>B. ANALYSIS OF CONGLOMERATE EFFECTS ..................................................24</w:t>
        <w:br/>
        <w:t>1. UPSTREAM MARKETS OF PUBLIC PASSENGER TRANSPORT AND SHARED MOBILITY ........................................................................................................25</w:t>
        <w:br/>
        <w:t>2. DOWNSTREAM MARKETS OF PUBLIC PASSENGER TRANSPORT AND SHARED MOBILITY ........................................................................................................26</w:t>
        <w:br/>
        <w:t>a) On the development of a tied sales strategy between public passenger transport services and self-service scooters ..................................................26</w:t>
        <w:br/>
        <w:t>b) On the use of resources from the activities of public passenger transport in the historical monopoly of RATP for the development of self-service scooter activities ........................................................................................................28</w:t>
        <w:br/>
        <w:t>C. RISK OF COORDINATION OF PARENT COMPANIES ..................................29</w:t>
        <w:br/>
        <w:t>DECISION ........................................................................................................31</w:t>
      </w:r>
    </w:p>
    <w:p>
      <w:r>
        <w:rPr>
          <w:b/>
        </w:rPr>
        <w:t>[Pages 7–9]</w:t>
      </w:r>
    </w:p>
    <w:p>
      <w:r>
        <w:t>A. THE MARKETS FOR PUBLIC PASSENGER TRANSPORT</w:t>
      </w:r>
    </w:p>
    <w:p>
      <w:r>
        <w:t>9. The European Commission has considered, in the decisions Govia / West Midlands Passenger Rail Franchise, Abellio Transport / Scotrail, and DB / Arriva, without definitively resolving the issue, that it may be relevant to distinguish between competition among operators for the award of a concession for the operation of a public rail transport service ("competition for the market") and that existing for the provision of public rail transport services to passengers ("competition in the market").</w:t>
      </w:r>
    </w:p>
    <w:p>
      <w:r>
        <w:t>10. Given the activities of the parent companies and the target, the effects of the operation will be analyzed in the upstream and downstream markets of public passenger transport.</w:t>
      </w:r>
    </w:p>
    <w:p>
      <w:r>
        <w:t>1. UPSTREAM MARKETS OF PUBLIC PASSENGER TRANSPORT</w:t>
      </w:r>
    </w:p>
    <w:p>
      <w:r>
        <w:t>11. In the public passenger transport sector, competition occurs among operators when responding to calls for tenders issued by the organizing authorities within their geographical area of competence.</w:t>
      </w:r>
    </w:p>
    <w:p>
      <w:r>
        <w:t>12. The general principles for the organization of public transport services in France have been defined by Law No. 82-1153 of December 30, 1982, on the orientation of internal transport ("LOTI"), with the exception of Île-de-France. This law has been amended by successive laws, including Law No. 2015-991 of August 7, 2015, on the new territorial organization of the Republic ("NOTRe"), and Law No. 2019-1428 of December 24, 2019, on the orientation of mobility ("LOM"). In this context, the Transport Code and the General Code of Local Authorities provide that municipalities and their groupings are responsible for organizing urban passenger transport, while regions are responsible for intercity transport.</w:t>
      </w:r>
    </w:p>
    <w:p>
      <w:r>
        <w:t>13. In the specific case of Île-de-France, Article L. 1241-1 of the Transport Code establishes a single organizing authority for this region, Île-de-France Mobilités (hereinafter, "IDFM", formerly the Syndicat des Transports d’Île-de-France, "STIF").</w:t>
      </w:r>
    </w:p>
    <w:p>
      <w:r>
        <w:t>14. Given the substantial differences in legislative and regulatory regimes (which have a direct impact on the organization of public transport) as well as differences in the materials used, the Competition Authority distinguishes between public passenger transport in Île-de-France and outside Île-de-France.</w:t>
      </w:r>
    </w:p>
    <w:p>
      <w:r>
        <w:t>a) Public Passenger Transport in Île-de-France</w:t>
      </w:r>
    </w:p>
    <w:p>
      <w:r>
        <w:t>Markets for Services</w:t>
      </w:r>
    </w:p>
    <w:p>
      <w:r>
        <w:t>15. As the Authority has recalled in several decisions and as mentioned above, the market for responding to calls for tenders for the operation of public passenger transport services in Île-de-France is very specific. Indeed, public passenger transport services in Île-de-France are organized by IDFM, a local public administrative establishment, constituted between the Île-de-France region, the city of Paris, and the departments of Essonne, Hauts-de-Seine, Seine-et-Marne, Seine-Saint-Denis, Val de Marne, Val d’Oise, and Yvelines. Until the end of the 2000s, IDFM was also subject to a legal regime that exempted it from putting road operators in competition for the operation of regular passenger transport services: it simply registered a carrier in the transport plan, which granted the latter an exclusive multi-year operating right. However, Article 5 of Law No. 2009-1503 of December 8, 2009, on the organization and regulation of rail transport and various provisions relating to transport, modified the 1959 ordinance. It specifies that new public transport contracts, occurring from December 3, 2009, must be awarded after a competitive process. Existing contracts continue under the rules applicable before December 3, 2009, until January 1, 2025, for road transport services, until January 1, 2030, for tram transport services, and until January 1, 2040, for metro transport services.</w:t>
      </w:r>
    </w:p>
    <w:p>
      <w:r>
        <w:t>16. In this context, RATP still enjoys a monopoly today on road services (buses) but also on light rail (metro, tram) in Paris and the nearby suburbs (inner ring). As a result, public transport in this region is largely structured around the RATP network. It also operates, jointly with SNCF, two lines of the Réseau Express Régional (lines A and B of the RER). Furthermore, all private companies operating regular bus lines registered in the Regional Transport Plan, currently about 80 companies or operating centers including Transdev, are grouped within OPTILE (Professional Organization of Transport in Île-de-France). This organization currently covers the bus network of the medium and large outer ring, which is subject to phased competition.</w:t>
      </w:r>
    </w:p>
    <w:p>
      <w:r>
        <w:t>17. In this case, RATP and CDC, via Transdev, are therefore both active in the public passenger transport market in Île-de-France.</w:t>
      </w:r>
    </w:p>
    <w:p>
      <w:r>
        <w:t>Geographical Markets</w:t>
      </w:r>
    </w:p>
    <w:p>
      <w:r>
        <w:t>18. In its decision-making practice, the Authority considers that the market for responding to calls for tenders for the operation of public passenger transport services in Île-de-France should be understood at the level of this region alone, given the regulatory specificities mentioned above and, in particular, the role played by IDFM in organizing the transport offer. There is no reason to challenge this delimitation in this case.</w:t>
      </w:r>
    </w:p>
    <w:p>
      <w:r>
        <w:t>b) Public Passenger Transport Outside Île-de-France</w:t>
      </w:r>
    </w:p>
    <w:p>
      <w:r>
        <w:t>Markets for Services</w:t>
      </w:r>
    </w:p>
    <w:p>
      <w:r>
        <w:t>19. In the public passenger transport sector outside Île-de-France, the Competition Authority has noted that it is necessary to distinguish between rail transport on the national rail network (excluding tram and metro) and road transport. These two modes of transport are indeed complementary and not substitutable, particularly due to their distinct legislative frameworks, their different functions in transport policy, but also because their operating costs present significant disparities. Furthermore, rail transport requires substantial investments in specific heavy infrastructure, making it difficult to substitute road transport for rail transport once these investments have been made.</w:t>
      </w:r>
    </w:p>
    <w:p>
      <w:r>
        <w:t>20. Within the road passenger transport sector outside Île-de-France, the Competition Authority distinguishes urban transport, across all modes of transport, from intercity transport. Indeed, the organization of these two modes of transport falls under different organizing authorities, namely municipalities or their groupings for urban transport and regions for intercity transport. Moreover, these two markets differ due to the specificity of the materials (buses for urban transport, coaches for intercity transport), the skills required for operating these transport networks, and the mode of ownership of the equipment (generally operator-owned for intercity transport, generally authority-owned for urban transport).</w:t>
      </w:r>
    </w:p>
    <w:p>
      <w:r>
        <w:rPr>
          <w:b/>
        </w:rPr>
        <w:t>[Pages 10–12]</w:t>
      </w:r>
    </w:p>
    <w:p>
      <w:r>
        <w:t>21. Thus, with regard to the public transport market for passengers outside Île-de-France, it is appropriate to distinguish between urban transport (which includes road transport, metro, and tramway), intercity road transport, and rail passenger transport.</w:t>
      </w:r>
    </w:p>
    <w:p>
      <w:r>
        <w:t>22. RATP and Transdev have urban and intercity transport activities outside Île-de-France. Transdev also has a rail passenger transport activity.</w:t>
      </w:r>
    </w:p>
    <w:p>
      <w:r>
        <w:t>Geographical Markets</w:t>
      </w:r>
    </w:p>
    <w:p>
      <w:r>
        <w:t>The market for urban public transport for passengers outside Île-de-France</w:t>
      </w:r>
    </w:p>
    <w:p>
      <w:r>
        <w:t>23. Both national and European authorities have considered that competition for public urban transport markets essentially occurs among all companies present at the national level. Indeed, when local authorities delegate the operation of urban passenger transport services, they organize calls for tenders to which all national operators can respond.</w:t>
      </w:r>
    </w:p>
    <w:p>
      <w:r>
        <w:t>24. It has also been noted in these decisions that the specificity of the legal framework in which these calls for tenders are organized, their publication in French in newspapers whose distribution is, except for calls for tenders launched by very large cities, limited to the national territory, as well as the relatively short response times allowed for candidates, constitute barriers to entry for foreign operators in this market.</w:t>
      </w:r>
    </w:p>
    <w:p>
      <w:r>
        <w:t>25. The Authority has therefore defined a market of national dimension. There is no reason to challenge this delimitation in the present case.</w:t>
      </w:r>
    </w:p>
    <w:p>
      <w:r>
        <w:t>The market for intercity road passenger transport outside Île-de-France</w:t>
      </w:r>
    </w:p>
    <w:p>
      <w:r>
        <w:t>26. The Competition Authority has retained a departmental dimension of the intercity road transport market for passengers outside Île-de-France. Indeed, the possession of vehicle depots as well as their appropriate location in relation to the lines put out to competition is a determining factor in the competitiveness of the submitted offers. For this reason, the main operators in this market are large French operators but also SMEs or groups of small local intercity operators.</w:t>
      </w:r>
    </w:p>
    <w:p>
      <w:r>
        <w:t>27. The reform introduced by the NOTRe law, in effect since January 1, 2017, transfers to the regions the competence long entrusted to the departments for the management of regular or demand-responsive intercity passenger transport. The competence is therefore now predominantly regional with some exceptions of delegations entrusted by the regions to the departments.</w:t>
      </w:r>
    </w:p>
    <w:p>
      <w:r>
        <w:t>28. Calls for tenders nevertheless retain a strong departmental dimension, both in terms of the size and geographical scope of the lots and in terms of maintaining competition among operators with local depots, whether they are family businesses or subsidiaries of national groups. Therefore, there is no reason to challenge the departmental delimitation of the market in the present case.</w:t>
      </w:r>
    </w:p>
    <w:p>
      <w:r>
        <w:t>The market for rail passenger transport outside Île-de-France</w:t>
      </w:r>
    </w:p>
    <w:p>
      <w:r>
        <w:t>29. The Competition Authority has retained a national dimension for rail passenger transport outside Île-de-France. The analysis of the effects of the operation remains unchanged regardless of the delimitation retained, and there is no reason to challenge this delimitation in the present case.</w:t>
      </w:r>
    </w:p>
    <w:p>
      <w:r>
        <w:t>2. THE DOWNSTREAM MARKETS FOR THE PROVISION OF PUBLIC PASSENGER TRANSPORT</w:t>
      </w:r>
    </w:p>
    <w:p>
      <w:r>
        <w:t>a) Service Markets</w:t>
      </w:r>
    </w:p>
    <w:p>
      <w:r>
        <w:t>30. The decision-making practice of the Authority has considered a "downstream" market for the provision of public transport services to passengers in Île-de-France, distinct from the market for responding to calls for tenders. The Authority has not excluded the hypothesis that this market could be analyzed across all modes of transport but has conducted its analysis solely on the rail mode, the most conservative segmentation in the present case. Although the Authority has not had to consider such a case, the analysis of this downstream market is also justified outside Île-de-France.</w:t>
      </w:r>
    </w:p>
    <w:p>
      <w:r>
        <w:t>31. To the extent that, regardless of the delimitation retained, the conclusions of the competitive analysis remain unchanged, the question of the exact delimitation of the market can be left open.</w:t>
      </w:r>
    </w:p>
    <w:p>
      <w:r>
        <w:t>b) Geographical Markets</w:t>
      </w:r>
    </w:p>
    <w:p>
      <w:r>
        <w:t>32. The decision-making practice has determined that the specificity of the market for responding to calls for tenders for the operation of public passenger transport services in Île-de-France in regulatory terms and in terms of the organization of the transport offer is transposable to the market for the provision of public passenger transport services. Therefore, an analysis of the market at the level of Île-de-France cannot be excluded.</w:t>
      </w:r>
    </w:p>
    <w:p>
      <w:r>
        <w:t>33. In this case, both RATP and Transdev are active in this market. RATP is active in the downstream market for the provision of public transport services to passengers in Île-de-France in both rail and road modes. The CDC is also active in this market, but only in the road mode.</w:t>
      </w:r>
    </w:p>
    <w:p>
      <w:r>
        <w:t>34. The CDC and RATP are also active in the markets for the provision of public transport services to passengers outside Île-de-France. However, given Cityscoot's activity, which is currently limited to Paris and the small Parisian crown, there is no conglomerate link between the activities of the CDC and RATP in these markets and those of Cityscoot in the shared mobility markets. In this context, the effects of the operation will be analyzed solely at the level of Île-de-France.</w:t>
      </w:r>
    </w:p>
    <w:p>
      <w:r>
        <w:t>B. THE MARKETS FOR SHARED MOBILITY</w:t>
      </w:r>
    </w:p>
    <w:p>
      <w:r>
        <w:t>35. Regarding the shared mobility sector, the Authority has already expressed its views on car-sharing services. On that occasion, it considered a distinction between the upstream market for obtaining temporary occupation authorizations of public domain for car-sharing services and the downstream market for providing car-sharing services to end customers. Such an analysis can be transposed to all shared mobility services. Considering the target's activities, the effects of the operation will therefore be analyzed in the upstream and downstream markets of shared mobility.</w:t>
      </w:r>
    </w:p>
    <w:p>
      <w:r>
        <w:t>1. THE UPSTREAM MARKETS OF SHARED MOBILITY</w:t>
      </w:r>
    </w:p>
    <w:p>
      <w:r>
        <w:t>a) Service Markets</w:t>
      </w:r>
    </w:p>
    <w:p>
      <w:r>
        <w:t>36. In its decision No. 13-D-16, the Authority noted "the development of so-called 'soft' modes, which correspond to alternative individual mobility modes primarily based on bicycles (rental, self-service, electric-assisted bicycles) and cars (car-sharing, ride-sharing, self-service cars, electric vehicles)." On that occasion, it pointed out that "an increasing number of calls for tenders for public service delegations for urban transport include a component concerning this type of system."</w:t>
      </w:r>
    </w:p>
    <w:p>
      <w:r>
        <w:t>37. However, several elements of the file lead to nuance this observation.</w:t>
      </w:r>
    </w:p>
    <w:p>
      <w:r>
        <w:t>38. First, the contracting authorities in charge of the calls for tenders are not necessarily the same for shared mobility and public transport.</w:t>
      </w:r>
    </w:p>
    <w:p>
      <w:r>
        <w:t>39. Regarding shared mobility, the LOM provides for the organization of the issuance of temporary occupation authorizations of public domain for shared mobility operators. It is notably provided that the titles issued to operators of vehicle, cycle, and device sharing services enabling the movement of people or the transport of goods will be issued.</w:t>
      </w:r>
    </w:p>
    <w:p>
      <w:r>
        <w:rPr>
          <w:b/>
        </w:rPr>
        <w:t>[Pages 13–15]</w:t>
      </w:r>
    </w:p>
    <w:p>
      <w:r>
        <w:t>the CDC on the downstream markets of public passenger transport outside Île-de-France.</w:t>
      </w:r>
    </w:p>
    <w:p>
      <w:r>
        <w:t>26 Decision No. 10-DCC-198 mentioned above.</w:t>
        <w:br/>
        <w:t>27 Decision No. 13-D-16 of June 27, 2013, concerning a request for interim measures regarding practices implemented at SNCF in the passenger transport sector.</w:t>
      </w:r>
    </w:p>
    <w:p>
      <w:r>
        <w:t>goods, made available to users on public roads and accessible in self-service, without docking stations, are issued in a non-discriminatory manner after consultation with the mobility organizing authority (hereinafter, "AOM") of the relevant territory28, or, for Île-de-France, IDFM, and with the authority responsible for traffic and parking enforcement when that authority is not competent to issue it29. The authorities responsible for issuing these authorizations either proceed solely with prior advertising before issuing the title to allow for the expression of relevant interest by other operators for short-term authorizations or when the number of available authorizations is not limited, or they conduct calls for tenders when these are not short-term or unlimited in number. Regarding shared mobility services, the bidding rules are identical regardless of geographical location (Île-de-France or outside Île-de-France).</w:t>
      </w:r>
    </w:p>
    <w:p>
      <w:r>
        <w:t>40. Thus, in Île-de-France, the authorities organizing calls for tenders for shared mobility services are either municipalities or entities to which one or more municipalities have delegated their competence, such as the mixed union Autolib’ and Velib’ Métropole30 or the public establishment for intercommunal cooperation ("EPCI") of Grand Paris Seine-Ouest ("GPSO")31. In contrast, regarding public transport services, IDFM is the competent authority32. Consequently, the authorities conducting calls for tenders for shared mobility services and public transport in Île-de-France are distinct.</w:t>
      </w:r>
    </w:p>
    <w:p>
      <w:r>
        <w:t>41. Outside Île-de-France, the authorities organizing calls for tenders for shared mobility services vary according to the organization of competencies among the different entities: municipalities, urban communities, community of municipalities, agglomeration communities, metropolises, EPCIs, or mixed unions. Regarding public transport services, AOMs can also be municipalities, agglomeration communities, urban communities, community of municipalities, metropolises, EPCIs, or mixed unions33. Thus, outside Île-de-France, while it is possible for the same entities to be responsible for organizing calls for tenders for shared mobility services and public transport, such identity is not systematic.</w:t>
      </w:r>
    </w:p>
    <w:p>
      <w:r>
        <w:t>42. Secondly, even when these contracting entities are identical, it appears that the calls for tenders are, to date, separate.</w:t>
      </w:r>
    </w:p>
    <w:p>
      <w:r>
        <w:t>43. Indeed, the market test indicates that the majority of respondents stated that the calls for tenders pertain either to public transport or to shared mobility. In particular, no urban passenger transport call for tenders to date has included a public service delegation covering a component related to self-service scooter services.</w:t>
      </w:r>
    </w:p>
    <w:p>
      <w:r>
        <w:t>28 As defined in Article L. 1231-1 of the Transport Code.</w:t>
        <w:br/>
        <w:t>29 Article L. 1231-17 of the Transport Code.</w:t>
        <w:br/>
        <w:t>30 The mixed union Autolib’ and Velib’ Métropole is responsible for establishing public services for shared bicycles and cars with docking stations.</w:t>
        <w:br/>
        <w:t>31 Grand Paris Seine-Ouest is a territorial public establishment grouping the municipalities of Boulogne-Billancourt, Chaville, Issy-les-Moulineaux, Marnes-la-Coquette, Meudon, Sèvres, Vanves, and Ville-d’Avray.</w:t>
        <w:br/>
        <w:t>32 Article L. 1241-1 of the Transport Code. IDFM may delegate this competence, but the market test indicates that the effective use of this delegation capacity is very low.</w:t>
        <w:br/>
        <w:t>33 Article L. 1231-1 of the Transport Code.</w:t>
      </w:r>
    </w:p>
    <w:p>
      <w:r>
        <w:t>44. Thirdly, among the calls for tenders related to self-service scooter services launched by the competent authorities, four out of five pertained solely to this type of mobility. The market test also indicates that operators of self-service scooters do not bid on calls for tenders concerning other types of mobility.</w:t>
      </w:r>
    </w:p>
    <w:p>
      <w:r>
        <w:t>45. Given these elements, it is necessary to consider the effects of the operation on an upstream market for shared mobility that may be segmented by type of mobility. In any case, the question of the exact delimitation of the market can be left open, as the conclusions of the competitive analysis remain unchanged regardless of the segmentation retained.</w:t>
      </w:r>
    </w:p>
    <w:p>
      <w:r>
        <w:t>b) Geographical Markets</w:t>
      </w:r>
    </w:p>
    <w:p>
      <w:r>
        <w:t>46. The issuance of temporary occupation authorizations of the public domain for shared mobility operators falls under the competent authorities regarding traffic and parking enforcement, which may also be designated as territorial AOMs.</w:t>
      </w:r>
    </w:p>
    <w:p>
      <w:r>
        <w:t>47. However, the market test indicates that the majority of self-service scooter operators are active at the national level.</w:t>
      </w:r>
    </w:p>
    <w:p>
      <w:r>
        <w:t>48. Given these elements, the upstream market for obtaining public domain occupation titles for the operation of shared mobility services will be analyzed at both the national and local levels (AOM level or the authority responsible for parking and traffic enforcement).</w:t>
      </w:r>
    </w:p>
    <w:p>
      <w:r>
        <w:t>2. THE DOWNSTREAM MARKETS FOR THE PROVISION OF SHARED MOBILITY SERVICES</w:t>
      </w:r>
    </w:p>
    <w:p>
      <w:r>
        <w:t>a) Service Markets</w:t>
      </w:r>
    </w:p>
    <w:p>
      <w:r>
        <w:t>49. The Authority has already considered, without precisely defining it, the existence of a market for the provision of car-sharing services to end customers34. More recently, the European Commission has been called upon to rule on, on the one hand, the market for car-sharing35 and, on the other hand, the market for self-service electric bicycles36. In both cases, the Commission considered that the relevant markets pertained solely to one type of mobility (respectively car-sharing and electric bicycles).</w:t>
      </w:r>
    </w:p>
    <w:p>
      <w:r>
        <w:t>50. The parties argue that the relevant material dimension of the market is that of the provision of shared mobility services including car-sharing vehicles, mechanical and electric bicycles, electric scooters, and self-service scooters.</w:t>
      </w:r>
    </w:p>
    <w:p>
      <w:r>
        <w:t>51. The market test suggests a certain substitutability between electric bicycle services, electric scooter services, and self-service electric scooters.</w:t>
      </w:r>
    </w:p>
    <w:p>
      <w:r>
        <w:t>34 Decision No. 10-DCC-198 mentioned above.</w:t>
        <w:br/>
        <w:t>35 European Commission Decision M.8744 Daimler / BMW / Car Sharing JV of November 7, 2018.</w:t>
        <w:br/>
        <w:t>36 European Commission Decision M.9545 NS Groep / Pon Netherlands / JV of January 15, 2020.</w:t>
      </w:r>
    </w:p>
    <w:p>
      <w:r>
        <w:t>52. However, some elements gathered during the investigation challenge this analysis and suggest instead that downstream, self-service electric scooter services are distinct from other types of shared mobility.</w:t>
      </w:r>
    </w:p>
    <w:p>
      <w:r>
        <w:t>53. Regarding car-sharing services, the uses appear clearly distinct from those of self-service scooters, as cars are used for long trips or to transport more than two passengers or large items. Regarding mechanical bicycles, the physical effort required and the slower speed of travel limit substitutability from the consumer's perspective with scooters. Finally, regarding electric bicycles and electric scooters, the requirement for the user to hold a driver's license for scooters also seems to oppose substitutability from the consumer's perspective.</w:t>
      </w:r>
    </w:p>
    <w:p>
      <w:r>
        <w:t>54. Therefore, the elements of the file do not allow for a certain resolution of the question of the delimitation of the downstream market for the provision of shared mobility services. In any case, this question can be left open, as the conclusions of the competitive analysis remain unchanged whether the analysis is conducted at the level of self-service scooters alone or at the overall level of shared mobility services.</w:t>
      </w:r>
    </w:p>
    <w:p>
      <w:r>
        <w:t>b) Geographical Markets</w:t>
      </w:r>
    </w:p>
    <w:p>
      <w:r>
        <w:t>55. In Decision No. 10-DCC-198, the Authority analyzed the market for the provision of car-sharing services at the national level while leaving the question of precise geographical delimitation open.</w:t>
      </w:r>
    </w:p>
    <w:p>
      <w:r>
        <w:t>56. Regarding car-sharing services and self-service electric bicycles, the European Commission, on the contrary, retained a local geographical dimension corresponding to the city level.</w:t>
      </w:r>
    </w:p>
    <w:p>
      <w:r>
        <w:t>57. A majority of respondents to the market test also consider that the geographical dimension of the self-service scooter services market is local, corresponding to the city and its immediate suburbs.</w:t>
      </w:r>
    </w:p>
    <w:p>
      <w:r>
        <w:t>58. The effects of the operation will therefore be analyzed at the local level. In this case, the target is active only in Paris and the inner suburbs. RATP and CDC offer such services almost exclusively outside Île-de-France, each of these two companies operating in different cities.</w:t>
      </w:r>
    </w:p>
    <w:p>
      <w:r>
        <w:t>C. THE MARKETS FOR MOBILITY BY SERVICE ASSOCIATION</w:t>
      </w:r>
    </w:p>
    <w:p>
      <w:r>
        <w:t>59. Mobility services by service association ("MAS") aim to facilitate the mobility of individuals by grouping within the same tool as many mobility offers as possible. Different levels of integration of these services are possible, from a simple multimodal route calculator to services that integrate booking and payment.</w:t>
      </w:r>
    </w:p>
    <w:p>
      <w:r>
        <w:t>60. The LOM, notably in the context of the application of Regulation (EU) 2017/1926 of the European Commission of May 31, 201737, has defined two distinct legal regimes for,</w:t>
      </w:r>
    </w:p>
    <w:p>
      <w:r>
        <w:rPr>
          <w:b/>
        </w:rPr>
        <w:t>[Pages 16–18]</w:t>
      </w:r>
    </w:p>
    <w:p>
      <w:r>
        <w:t>on the one hand, multimodal travel information services38 (hereinafter, "SIM") and, on the other hand, multimodal digital services (hereinafter, "SNM"), the latter allowing for the sale of mobility services39. The SNM can issue pricing products either by applying the terms of use, pricing, and booking conditions of the service providers in question or, subject to the agreement of the AOM or the service provider, at the price they set. The SNM regime applies to both services that allow the sale of mobility services via deep linking40 and those that allow sales without linking.</w:t>
      </w:r>
    </w:p>
    <w:p>
      <w:r>
        <w:t>61. The SIM and the SNM can be operated either by private actors, on their own initiative or within the framework of calls for tenders launched by local authorities, or by public entities.</w:t>
      </w:r>
    </w:p>
    <w:p>
      <w:r>
        <w:t>62. Without ever directly analyzing the markets for MAS services, the Authority has already considered certain MAS activities within the market for ticketing systems and passenger information41.</w:t>
      </w:r>
    </w:p>
    <w:p>
      <w:r>
        <w:t>63. The European Commission has analyzed the MAS markets in several recent decisions42. It notably recognized the existence of an upstream market for the development of MAS services, a market for access to MAS services, and a market for the retail distribution of MAS services.</w:t>
      </w:r>
    </w:p>
    <w:p>
      <w:r>
        <w:t>64. Given the activities of the parties, the Authority will analyze the effects of the operation on the upstream market for the development of MAS services and on the downstream market for the distribution of MAS services.</w:t>
      </w:r>
    </w:p>
    <w:p>
      <w:r>
        <w:t>1. THE MARKETS FOR THE DEVELOPMENT OF MOBILITY SERVICES THROUGH SERVICE ASSOCIATION</w:t>
      </w:r>
    </w:p>
    <w:p>
      <w:r>
        <w:t>a) Service Markets</w:t>
      </w:r>
    </w:p>
    <w:p>
      <w:r>
        <w:t>65. In these markets, the supply of operators developing MAS services meets the demand from private operators – mobility service distributors, transport providers – or public operators – local authorities or AOM, for MAS applications or interfaces intended for the operation of such applications.</w:t>
      </w:r>
    </w:p>
    <w:p>
      <w:r>
        <w:t>66. The parties argue, relying on the decision-making practice of the European Commission43, that within these markets, a distinction must be made between, on the one hand, the activity of providing a platform serving as an interface between the application programming interfaces of mobility operators and those of service mobility operators and, on the other hand, the provision of white-label MAS applications.</w:t>
      </w:r>
    </w:p>
    <w:p>
      <w:r>
        <w:t>38 Articles L. 1115-1 and following of the Transport Code.</w:t>
      </w:r>
    </w:p>
    <w:p>
      <w:r>
        <w:t>39 Articles L. 1115-10 and following of the Transport Code.</w:t>
      </w:r>
    </w:p>
    <w:p>
      <w:r>
        <w:t>40 The link allows direct access to the booking and payment page of the desired transport or mobility service operator without going through its homepage.</w:t>
      </w:r>
    </w:p>
    <w:p>
      <w:r>
        <w:t>41 Decision No. 10-DCC-02 and 19-DCC-76 referenced above.</w:t>
      </w:r>
    </w:p>
    <w:p>
      <w:r>
        <w:t>42 Decisions of the European Commission M.8744; M.9545 and M.9250 – GVB / HTM / NS / RET / JV.</w:t>
      </w:r>
    </w:p>
    <w:p>
      <w:r>
        <w:t>43 Decisions M.8744 and M.9250 referenced above.</w:t>
      </w:r>
    </w:p>
    <w:p>
      <w:r>
        <w:t>67. In any case, the question of the exact delineation of these markets can be left open, as the conclusions of the competitive analysis remain unchanged regardless of the delineation adopted.</w:t>
      </w:r>
    </w:p>
    <w:p>
      <w:r>
        <w:t>68. In this case, RATP and CDC are active in this market primarily in the provision of white-label MAS applications.</w:t>
      </w:r>
    </w:p>
    <w:p>
      <w:r>
        <w:t>b) Geographic Markets</w:t>
      </w:r>
    </w:p>
    <w:p>
      <w:r>
        <w:t>69. The European Commission recently analyzed the MAS development markets44 at the level of the European Economic Area and at the national level.</w:t>
      </w:r>
    </w:p>
    <w:p>
      <w:r>
        <w:t>70. The majority of respondents to the market test consider that the market dimension is global.</w:t>
      </w:r>
    </w:p>
    <w:p>
      <w:r>
        <w:t>71. In any case, as the conclusions of the competitive analysis remain unchanged regardless of the delineation adopted, the question of the exact delineation of these markets can be left open.</w:t>
      </w:r>
    </w:p>
    <w:p>
      <w:r>
        <w:t>72. In this case, the analysis will be conducted at the national level, the most conservative level, given the activities of RATP and CDC.</w:t>
      </w:r>
    </w:p>
    <w:p>
      <w:r>
        <w:t>2. THE DOWNSTREAM MARKETS FOR THE DISTRIBUTION OF MOBILITY SERVICES THROUGH SERVICE ASSOCIATION</w:t>
      </w:r>
    </w:p>
    <w:p>
      <w:r>
        <w:t>a) Service Markets</w:t>
      </w:r>
    </w:p>
    <w:p>
      <w:r>
        <w:t>73. In the markets for the distribution of MAS services, mobility operators seek to have their services referenced or distributed by operators who distribute retail to end consumers MAS applications.</w:t>
      </w:r>
    </w:p>
    <w:p>
      <w:r>
        <w:t>74. In its decision-making practice, the Commission has analyzed a market solely concerning mobile applications45. A majority of respondents to the market test, on the contrary, consider that mobility services on websites and applications are substitutable. A majority of respondents to the market test also consider that mobility services offering only the services of the operator and services also offering third-party mobility services as well as unimodal and multimodal services are substitutable from the consumer's perspective.</w:t>
      </w:r>
    </w:p>
    <w:p>
      <w:r>
        <w:t>75. In any case, as the conclusions of the competitive analysis remain unchanged regardless of the delineation adopted, the question of the exact delineation of the market can be left open.</w:t>
      </w:r>
    </w:p>
    <w:p>
      <w:r>
        <w:t>76. Furthermore, the different levels of integration of services between the SIM, the SNM with deep linking to the digital sales services of mobility operators, and the SNM without linking do not appear to be substitutable among themselves from the perspective of mobility operators. However, it should be noted that all SNM services are governed by the same legal framework.</w:t>
      </w:r>
    </w:p>
    <w:p>
      <w:r>
        <w:t>44 Decision M.8744 referenced above.</w:t>
      </w:r>
    </w:p>
    <w:p>
      <w:r>
        <w:t>45 Decisions M.8744, M.9545 and M.9250 referenced above.</w:t>
      </w:r>
    </w:p>
    <w:p>
      <w:r>
        <w:t>77. Given the activities of the parties and the applicable legal framework, the analysis will be conducted separately for (i) services allowing only the referencing of mobility services (corresponding to the SIM) and (ii) services allowing booking and payment with or without linking (corresponding respectively to the SNM with deep linking and the SNM with direct distribution).</w:t>
      </w:r>
    </w:p>
    <w:p>
      <w:r>
        <w:t>b) Geographic Markets</w:t>
      </w:r>
    </w:p>
    <w:p>
      <w:r>
        <w:t>78. While MAS service operators may be active at the national or even European level, the demand from mobility operators for referencing or distributing their services may concentrate at the level of cities where they are active. Moreover, the demand from end customers for MAS services has a local dimension.</w:t>
      </w:r>
    </w:p>
    <w:p>
      <w:r>
        <w:t>79. In any case, as the conclusions of the competitive analysis remain unchanged regardless of the delineation adopted, the question of the exact delineation of the market can be left open. In this case, CDC operates MAS services in Mulhouse and Saint-Étienne. RATP operates the RATP website (www.ratp.fr) and the Bonjour RATP application in Île-de-France46 as well as the Mappy website and the Mappy application throughout France. As for Cityscoot, it is currently only active in Paris and the inner suburbs. In this context, the effects of the operation will be analyzed primarily at the local level.</w:t>
      </w:r>
    </w:p>
    <w:p>
      <w:r>
        <w:t>III. Competitive Analysis</w:t>
      </w:r>
    </w:p>
    <w:p>
      <w:r>
        <w:t>80. As a preliminary point, the operation does not raise any horizontal competition concerns in the shared mobility markets.</w:t>
      </w:r>
    </w:p>
    <w:p>
      <w:r>
        <w:t>81. On the one hand, the operation does not lead to any overlap of activities upstream and downstream in the event that a market limited to self-service scooter services is retained, in which only Cityscoot is active.</w:t>
      </w:r>
    </w:p>
    <w:p>
      <w:r>
        <w:t>82. On the other hand, in a market encompassing all shared mobility services, it should first be noted that Cityscoot is only active in Île-de-France. In this area47, RATP has no activity in the shared mobility sector and CDC is only marginally active in this sector48, so that the overlap of activities that could be analyzed only in the event that a market encompassing all shared mobility services is retained is modest. At the national level, CDC and RATP primarily offer shared mobility services within the framework of networks.</w:t>
      </w:r>
    </w:p>
    <w:p>
      <w:r>
        <w:t>46 RATP also operates the Mon RER A application dedicated to information on the RER A and Next Stop Paris, an application aimed at tourists.</w:t>
      </w:r>
    </w:p>
    <w:p>
      <w:r>
        <w:t>47 It should be noted that following a vote organized on April 2, 2023, by the Paris City Hall, it is planned that self-service electric scooter services will be banned in Paris.</w:t>
      </w:r>
    </w:p>
    <w:p>
      <w:r>
        <w:t>48 CDC operates the Clem-E self-service car-sharing service in Île-de-France. However, the Clem-E fleet in the region is primarily composed of utility vehicles intended for professionals and therefore constitutes a very distant alternative to the target's electric scooters.</w:t>
      </w:r>
    </w:p>
    <w:p>
      <w:r>
        <w:rPr>
          <w:b/>
        </w:rPr>
        <w:t>[Pages 19–21]</w:t>
      </w:r>
    </w:p>
    <w:p>
      <w:r>
        <w:t>delegated to them (notably self-service bicycles and car-sharing)49. There is therefore an overlap of activities in the upstream and downstream markets of shared mobility. However, in these markets, Cityscoot's presence is very limited (as it only operates a service in Île-de-France) and the parties face competition from nationally structured players, such as Keolis, during tenders, who can also rely on shared mobility operators as part of a subcontracting activity. The operation is therefore not likely to raise competition concerns.</w:t>
      </w:r>
    </w:p>
    <w:p>
      <w:r>
        <w:t>83. On the other hand, given the respective activities of the parent companies and the target, it is necessary to conduct an analysis of the vertical effects of the operation on the downstream markets for providing shared mobility services and those for distributing mobility services through service associations (A).</w:t>
      </w:r>
    </w:p>
    <w:p>
      <w:r>
        <w:t>84. The operation is also likely to lead to conglomerate effects between the upstream and downstream markets for public passenger transport and shared mobility (B) as well as a risk of coordination among the parent companies in the markets where they are jointly present50 (C).</w:t>
      </w:r>
    </w:p>
    <w:p>
      <w:r>
        <w:t>A. ANALYSIS OF VERTICAL EFFECTS</w:t>
      </w:r>
    </w:p>
    <w:p>
      <w:r>
        <w:t>85. A vertical concentration can restrict competition by making it more difficult for competitors to access the markets in which the new entity will be active, or even potentially driving competitors out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w:t>
      </w:r>
    </w:p>
    <w:p>
      <w:r>
        <w:t>86. According to established decision-making practice, the likelihood that the operation distorts competition through vertical effects depends on the ability of the parties to effectively restrict their competitors' access to their services or to effectively reduce their outlets, the incentive for the parties to implement such a strategy, and the effects of this strategy on the markets concerned. In practice, these three criteria are closely linked.</w:t>
      </w:r>
    </w:p>
    <w:p>
      <w:r>
        <w:t>87. In this case, to date, Cityscoot provides self-service scooter services in Paris and the inner suburbs. The city of Paris is currently reviewing applications for a tender in which a maximum of three self-service scooter operators will be selected. In this area, the RATP operates several MAS services corresponding to the different identified market segments51.</w:t>
      </w:r>
    </w:p>
    <w:p>
      <w:r>
        <w:t>49 These services are not necessarily provided directly by the RATP and the CDC, which notably use subcontractors.</w:t>
      </w:r>
    </w:p>
    <w:p>
      <w:r>
        <w:t>50 Given the limited activity of the parent companies in shared mobility, the risks of coordinated effects will not be analyzed in the shared mobility markets.</w:t>
      </w:r>
    </w:p>
    <w:p>
      <w:r>
        <w:t>51 The CDC also operates MAS in cities where Cityscoot is not active, so the operation does not induce any vertical effects in this regard. Furthermore, any anticompetitive effect at the national level can be ruled out, given the very limited presence of the CDC and the RATP in the MAS markets and their also very limited presence in the shared mobility markets.</w:t>
      </w:r>
    </w:p>
    <w:p>
      <w:r>
        <w:t>88. Given the retail distribution activities of RATP's MAS services and Cityscoot's provision of shared mobility services in the Paris region, the operation is therefore likely to lead, on the one hand, (i) to a lock-in of outlets and, on the other hand, (ii) to a lock-in of inputs.</w:t>
      </w:r>
    </w:p>
    <w:p>
      <w:r>
        <w:t>1. LOCK-IN OF OUTLETS</w:t>
      </w:r>
    </w:p>
    <w:p>
      <w:r>
        <w:t>89. Operators of shared mobility services active in the area target MAS service distributors to appear on their services, thus becoming more easily accessible to the end customer. In this context, the RATP could refuse access to Cityscoot's competitors to its MAS services in order to drive out its competitors or degrade their access conditions, whether on its services allowing for referencing (a) and distribution (b).</w:t>
      </w:r>
    </w:p>
    <w:p>
      <w:r>
        <w:t>a) Regarding services allowing for referencing</w:t>
      </w:r>
    </w:p>
    <w:p>
      <w:r>
        <w:t>90. Regarding the SIMs allowing for the referencing of mobility services, the RATP operates its website and the Mappy website52.</w:t>
      </w:r>
    </w:p>
    <w:p>
      <w:r>
        <w:t>Regarding the refusal of referencing on the mobility services by service association of the RATP</w:t>
      </w:r>
    </w:p>
    <w:p>
      <w:r>
        <w:t>91. First of all, it should be noted that while the RATP will have the capacity to restrict access to the referencing of shared mobility operators on the Mappy website at its sole initiative, this will not be the case for the RATP website. Indeed, concerning the latter, the operating contract concluded between the RATP and IDFM for the period 2021-2024 (hereinafter, the "operating contract") provides that the RATP offers the mobility offer of IDFM's partner services and requests IDFM's agreement before integrating other services53. It should be noted that currently, the services of Cityscoot and its competitors are not referenced on the RATP website54, so any referencing of these services on the RATP website is conditioned on IDFM's agreement.</w:t>
      </w:r>
    </w:p>
    <w:p>
      <w:r>
        <w:t>92. In any case, such a strategy by the RATP, whether for the RATP website or for the Mappy website, would not have a significant effect on the market. Indeed, it emerges from the market test that shared mobility operators generally do not have difficulties in getting their services referenced on MAS services. Moreover, the parties' websites face competitive pressure from major applications that reference mobility services, such as Citymapper. Finally, while the websites of SIMs can be considered as a showcase for the activity of mobility operators, the traffic on the websites is much lower than that of SIM applications, so the websites would not contribute significantly to the activity of Cityscoot's competitors.</w:t>
      </w:r>
    </w:p>
    <w:p>
      <w:r>
        <w:t>52 The Mappy website used from a computer only allows for referencing. However, when used from a phone, it allows for distribution via deep linking. In this second case, the elements developed in points 97 and following also apply.</w:t>
      </w:r>
    </w:p>
    <w:p>
      <w:r>
        <w:t>53 Article 94-2, 1) of the operating contract.</w:t>
      </w:r>
    </w:p>
    <w:p>
      <w:r>
        <w:t>54 Since March 13, 2023, Cityscoot no longer appears in the route search on the RATP website but only on the interactive map "Around Me."</w:t>
      </w:r>
    </w:p>
    <w:p>
      <w:r>
        <w:t>93. Thus, any competitive risk related to the implementation by the RATP of a strategy to refuse referencing of Cityscoot's competitors on its MAS sites can be ruled out.</w:t>
      </w:r>
    </w:p>
    <w:p>
      <w:r>
        <w:t>Regarding the degradation of referencing conditions on the mobility services by service association of the RATP</w:t>
      </w:r>
    </w:p>
    <w:p>
      <w:r>
        <w:t>94. It should be noted that the capacity to degrade the referencing conditions of Cityscoot's competitors is limited by legal and regulatory provisions. Indeed, Regulation (EU) 2017/1926 as well as Article L. 1115-1 of the Transport Code provide that data reused by SIMs must be done in a neutral manner, without discrimination, and that the criteria used for ranking travel options of different modes of transport must be transparent55. Furthermore, it is provided that, in this context, financial compensation may be requested from the operator reusing this data56. The pricing conditions of the contract concluded between the mobility operator and the SIM operators are regulated by decree57. These obligations are subject to oversight by the Transport Regulatory Authority (hereinafter, "ART")58.</w:t>
      </w:r>
    </w:p>
    <w:p>
      <w:r>
        <w:t>95. Thus, the RATP will not have the capacity to degrade the referencing conditions of shared mobility services both in terms of display on its MAS services and in terms of financial conditions. Moreover, for the reasons mentioned in point 92 of the decision, such a strategy would not have a significant effect on the market.</w:t>
      </w:r>
    </w:p>
    <w:p>
      <w:r>
        <w:t>96. Thus, any competitive risk related to the implementation by the RATP of a strategy to degrade the referencing conditions of Cityscoot's competitors on its MAS sites can be ruled out.</w:t>
      </w:r>
    </w:p>
    <w:p>
      <w:r>
        <w:t>b) Regarding services allowing for distribution</w:t>
      </w:r>
    </w:p>
    <w:p>
      <w:r>
        <w:t>97. The RATP operates the Mappy application which allows for the distribution of shared mobility services with deep linking to the applications of shared mobility operators as well as the Bonjour RATP application which allows for the distribution of shared mobility services directly from the application59.</w:t>
      </w:r>
    </w:p>
    <w:p>
      <w:r>
        <w:t>98. Regarding the Mappy application, its main competitor is the Google Maps application, which is a SNM that operates on the basis of deep links, and which is a key player in MAS services. Thus, a strategy to foreclose access to the Mappy application would not have a significant effect on the market. Conversely, a majority of respondents to the market test indicated that the Bonjour RATP application is important for the activity of shared mobility service providers in the Paris region. Thus, the absence of access or the degradation of display conditions for a shared mobility operator on the Bonjour RATP application could have an effect, downstream, on the market of 55 Article 8 of the aforementioned Regulation (EU) 2017/1926.</w:t>
      </w:r>
    </w:p>
    <w:p>
      <w:r>
        <w:t>56 Article L. 1115-3 of the Transport Code.</w:t>
      </w:r>
    </w:p>
    <w:p>
      <w:r>
        <w:t>57 Decree No. 2020-1753 of December 28, 2020, relating to certain conditions for making digital data available to facilitate travel.</w:t>
      </w:r>
    </w:p>
    <w:p>
      <w:r>
        <w:t>58 Article L. 1115-5 of the Transport Code.</w:t>
      </w:r>
    </w:p>
    <w:p>
      <w:r>
        <w:t>59 According to Article 91-2 of the operating contract, the Bonjour RATP application is not covered by it.</w:t>
      </w:r>
    </w:p>
    <w:p>
      <w:r>
        <w:rPr>
          <w:b/>
        </w:rPr>
        <w:t>[Pages 22–24]</w:t>
      </w:r>
    </w:p>
    <w:p>
      <w:r>
        <w:t>the provision of self-service scooters. In any case, RATP will not have the capacity to implement such a strategy.</w:t>
      </w:r>
    </w:p>
    <w:p>
      <w:r>
        <w:t>Regarding the refusal to distribute on mobility services by association of RATP services</w:t>
      </w:r>
    </w:p>
    <w:p>
      <w:r>
        <w:t>99. First of all, concerning RATP's ability to refuse the distribution of competing services from Cityscoot on the Mappy and Bonjour RATP applications, it should be noted that the SNM are subject to legal obligations that limit their scope of action. Indeed, the transport code imposes a non-discriminatory selection obligation on SNM operators for car, scooter, bicycle, and self-service vehicle services as long as they distribute a given category of services. The resolution of disputes related to this obligation falls under the jurisdiction of the ART.</w:t>
      </w:r>
    </w:p>
    <w:p>
      <w:r>
        <w:t>100. Thus, as long as RATP's applications distribute Cityscoot's services, RATP is bound by a non-discriminatory selection obligation regarding Cityscoot's competitors. It should be noted that to date, Bonjour RATP does not distribute self-service scooter services. If applicable, non-compliance with this obligation may be remedied by the ART.</w:t>
      </w:r>
    </w:p>
    <w:p>
      <w:r>
        <w:t>101. Therefore, RATP will not have the capacity to refuse the distribution of Cityscoot's competitors on its applications. Any competitive risk related to RATP's implementation of a refusal to distribute Cityscoot's competitors on the Mappy and Bonjour RATP applications can be ruled out.</w:t>
      </w:r>
    </w:p>
    <w:p>
      <w:r>
        <w:t>Regarding the degradation of distribution methods on mobility services by association of RATP services</w:t>
      </w:r>
    </w:p>
    <w:p>
      <w:r>
        <w:t>102. It appears that RATP will not have the capacity to degrade the distribution conditions of shared mobility services on the Mappy and Bonjour RATP applications. Indeed, the transport code also provides that the criteria for displaying user search results must be presented in a non-discriminatory manner, taking into account the characteristics of transport solutions, including price, and must not be based on any other element directly or indirectly related to a commercial agreement between the SNM provider and the mobility operators whose SNM it sells. Furthermore, the pricing conditions of the contract concluded between SNM operators and the mobility operator must be reasonable, fair, transparent, and proportionate. These provisions are also subject to ART control within the framework of its dispute resolution powers.</w:t>
      </w:r>
    </w:p>
    <w:p>
      <w:r>
        <w:t>103. Therefore, RATP will not have the capacity to degrade the distribution methods of shared mobility services both in terms of display on its applications and in terms of contractual, technical, or financial conditions.</w:t>
      </w:r>
    </w:p>
    <w:p>
      <w:r>
        <w:t>104. Thus, any competitive risk related to RATP's implementation of a strategy to degrade the distribution conditions of Cityscoot's competitors on the Mappy and Bonjour RATP applications can be ruled out.</w:t>
      </w:r>
    </w:p>
    <w:p>
      <w:r>
        <w:t>2. INPUT LOCK-IN</w:t>
      </w:r>
    </w:p>
    <w:p>
      <w:r>
        <w:t>105. RATP could reserve the referencing and distribution of Cityscoot's services to eliminate certain of its competitors from the downstream market for the retail distribution of mobility services by association of services.</w:t>
      </w:r>
    </w:p>
    <w:p>
      <w:r>
        <w:t>106. As a preliminary point, it should be noted that RATP's ability to implement such an input lock-in strategy will in any case be limited by the joint control that CDC has over Cityscoot. Indeed, CDC may wish to ensure the most universal access possible to the services offered by Cityscoot, in order to ensure the optimal development of its activity.</w:t>
      </w:r>
    </w:p>
    <w:p>
      <w:r>
        <w:t>a) Regarding the referencing of Cityscoot's services by mobility services by association of services</w:t>
      </w:r>
    </w:p>
    <w:p>
      <w:r>
        <w:t>107. Regarding referencing, the transport code provides that providers of vehicle, bicycle, and personal mobility device sharing services must provide static, historical, and dynamic data on movements, including data related to the location of available vehicles, bicycles, and personal mobility devices, so that they are made accessible and reusable. In Île-de-France, mobility operators are required to communicate this data to IDFM, which makes it accessible for reuse by MAS operators at the national access point (hereinafter, "PAN").</w:t>
      </w:r>
    </w:p>
    <w:p>
      <w:r>
        <w:t>108. In this context, as mentioned in point 94 of the decision, a financial compensation regulated by decree and controlled by the ART may be requested. Thus, the reuse tariffs for Cityscoot's data are precisely regulated.</w:t>
      </w:r>
    </w:p>
    <w:p>
      <w:r>
        <w:t>109. Therefore, RATP will not have the capacity to prevent competing operators of RATP in the retail distribution markets of MAS services from referencing Cityscoot.</w:t>
      </w:r>
    </w:p>
    <w:p>
      <w:r>
        <w:t>b) Regarding the distribution of Cityscoot's services by mobility services by association of services</w:t>
      </w:r>
    </w:p>
    <w:p>
      <w:r>
        <w:t>110. Regarding applications allowing distribution with or without referral, RATP would not have the capacity to refuse the distribution of Cityscoot's services by third-party MAS operators. Indeed, Article L. 1115-11 of the transport code imposes an obligation on mobility operators that have their own SNM to provide an interface allowing access to their digital sales services to third-party SNMs. This obligation applies to companies or their controlling entities, whose existence exceeds three years and whose turnover exceeds 5 million euros. In this context, the interface may consist of a deep link when justified. Cityscoot meets the aforementioned conditions, and it is subject to the obligation to make its digital sales service accessible to SNMs. The enforcement of this obligation falls under the ART's jurisdiction within the framework of its dispute resolution powers.</w:t>
      </w:r>
    </w:p>
    <w:p>
      <w:r>
        <w:t>111. Furthermore, such a strategy would not have a significant effect on the market. Indeed, RATP's MAS face competition from major operators who adopt different strategies regarding the distribution of self-service scooters (Google Maps for the Mappy application and FreeNow and Uber for the Bonjour RATP application). Currently, Google Maps does not distribute self-service scooter services, while Uber and FreeNow distribute Cityscoot's and Cooltra's services, respectively. Moreover, the market test indicates that while the variety of distributed mobilities is considered by half of the respondents as a relevant criterion for consumers when choosing a MAS application, the number of operators available by type of mobility on a MAS application is not.</w:t>
      </w:r>
    </w:p>
    <w:p>
      <w:r>
        <w:t>112. In this context, neither the distribution of self-service scooter services nor that of Cityscoot's services can be considered an essential input for MAS operators.</w:t>
      </w:r>
    </w:p>
    <w:p>
      <w:r>
        <w:t>113. Thus, any risk of input lock-in resulting from the operation in the retail distribution market of MAS services can be ruled out.</w:t>
      </w:r>
    </w:p>
    <w:p>
      <w:r>
        <w:t>B. ANALYSIS OF CONGLOMERATE EFFECTS</w:t>
      </w:r>
    </w:p>
    <w:p>
      <w:r>
        <w:t>114. A concentration is likely to have conglomerate effects when the new entity extends or strengthens its presence in markets that are connected to other markets where it holds market power. Some conglomerate concentrations can indeed produce restrictive competition effects when they allow the technical or commercial linking of the sales of the new entity's products in a way that locks the market and eliminates competitors.</w:t>
      </w:r>
    </w:p>
    <w:p>
      <w:r>
        <w:t>115. However, the guidelines of the Competition Authority indicate that it is unlikely that a concentration will pose a risk of conglomerate effect if the new entity does not benefit from a strong position in a market from which it can leverage an effect.</w:t>
      </w:r>
    </w:p>
    <w:p>
      <w:r>
        <w:rPr>
          <w:b/>
        </w:rPr>
        <w:t>[Pages 25–27]</w:t>
      </w:r>
    </w:p>
    <w:p>
      <w:r>
        <w:t>à l’article 37-2 du contrat d’exploitation, la RATP doit reverser à IDFM une partie des recettes générées par l’exploitation de services de transport public.</w:t>
      </w:r>
    </w:p>
    <w:p>
      <w:r>
        <w:t>133. En conséquence, la RATP ne pourra pas compenser une éventuelle baisse de revenus de Cityscoot par des recettes issues de ses activités de transport public, ce qui limite la possibilité d’un effet de levier sur le marché aval des services de mobilité partagée.</w:t>
      </w:r>
    </w:p>
    <w:p>
      <w:r>
        <w:t>134. En conclusion, les effets de l’opération sur les marchés aval du transport public de voyageurs et des mobilités partagées ne sont pas susceptibles de soulever des préoccupations concurrentielles.</w:t>
      </w:r>
    </w:p>
    <w:p>
      <w:r>
        <w:rPr>
          <w:b/>
        </w:rPr>
        <w:t>[Pages 28–30]</w:t>
      </w:r>
    </w:p>
    <w:p>
      <w:r>
        <w:t>133. Furthermore, considering the revenue generated by Cityscoot, on the one hand, and the joint control of the CDC, on the other hand, RATP's incentives to implement such a strategy will be limited since it would bear all the losses associated with it while not benefiting from all the revenues generated.</w:t>
      </w:r>
    </w:p>
    <w:p>
      <w:r>
        <w:t>134. Thus, any risk related to the implementation of a tied sales strategy between public transport services and Cityscoot's self-service scooters following the operation by RATP can be ruled out.</w:t>
      </w:r>
    </w:p>
    <w:p>
      <w:r>
        <w:t>b) On the use of resources from the public passenger transport activities under the historical monopoly of RATP for the development of the self-service scooter activity</w:t>
      </w:r>
    </w:p>
    <w:p>
      <w:r>
        <w:t>135. It is necessary to consider the effect of potential non-replicable advantages that RATP has as the historical transport operator in the Paris region. In this regard, transport data on the one hand and customer-related data on the other hand to which RATP has access have been analyzed.</w:t>
      </w:r>
    </w:p>
    <w:p>
      <w:r>
        <w:t>136. Regarding public transport data, this could be used to improve the geographical distribution of Cityscoot's self-service scooters. However, like shared mobility operators, transport operators are subject to an obligation to provide historical data concerning traffic as well as static and dynamic data regarding movements and traffic. This data must be made accessible and reusable using certain precise technical standards and specifications.</w:t>
      </w:r>
    </w:p>
    <w:p>
      <w:r>
        <w:t>137. Specifically concerning the transport organized by IDFM, such as public transport in Île-de-France, it is responsible for providing this data, which it can delegate to transport operators. Thus, this data must be published by IDFM on the PAN, which should allow users of the PAN to easily find and use the available data. The aforementioned data is therefore provided by transport operators to IDFM, which is responsible for making it accessible. In this regard, the operating contract stipulates that "The RATP provides Île-de-France Mobilités with, updates, and corrects its static, dynamic, and historical data that it possesses, as defined in the delegated regulation (EU) 2017/1926 of the Commission of May 31, 2017, supplementing Directive 2010/40/EU of the European Parliament and of the Council regarding the provision, throughout the Union, of information services on multimodal travel, in compliance with objectively, transparently, non-discriminatory, and proportionate conditions, which may be amended by an amendment." The compliance control of the publication of the aforementioned data is ensured by the ART.</w:t>
      </w:r>
    </w:p>
    <w:p>
      <w:r>
        <w:t>138. Thus, since RATP is legally and contractually obliged to provide the transport data it operates to IDFM, which has the obligation to make it accessible, RATP will not be able to derive any advantage from this data to improve the service offered by Cityscoot.</w:t>
      </w:r>
    </w:p>
    <w:p>
      <w:r>
        <w:t>139. Regarding the customer data of IDFM that RATP has in the context of public transport operations, it may be considered that RATP communicates this data to Cityscoot. However, the general terms of use of the various fare products of IDFM distributed by RATP provide a framework for the use of collected personal data. If commercial prospecting is part of the purposes of processing personal data listed in this framework, it must be carried out either within the framework of prospecting for services similar to public transport or based on the consent of the contract holder. In any case, the personal data of IDFM's customers held by RATP cannot be shared with third parties except for RATP's subcontractors, GIE Comutitres, and IDFM. Thus, RATP will not be able to communicate the data related to IDFM's customers to Cityscoot.</w:t>
      </w:r>
    </w:p>
    <w:p>
      <w:r>
        <w:t>140. Therefore, it appears that RATP will not be able to use any potential non-replicable advantages it may have as the historical transport operator in the Paris region as leverage in the market for self-service scooter services in Paris and the surrounding suburbs.</w:t>
      </w:r>
    </w:p>
    <w:p>
      <w:r>
        <w:t>C. RISK OF COORDINATION BETWEEN PARENT COMPANIES</w:t>
      </w:r>
    </w:p>
    <w:p>
      <w:r>
        <w:t>141. The operation consisting of the creation of a full-function joint venture, through the joint control of the target by RATP and CDC, which are simultaneously active in the public passenger transport markets in Île-de-France and outside Île-de-France, requires an examination of the extent to which the operation may lead to coordination between the notifying parties in these markets.</w:t>
      </w:r>
    </w:p>
    <w:p>
      <w:r>
        <w:t>142. Paragraph 760 of the guidelines recalls that: "[t]he risks of coordination between parent companies in the context of the creation of a joint venture are analyzed with regard to three cumulative criteria: – a causal link must exist between the creation of the joint venture and the emergence of coordination risks among its parent companies or its strengthening; – the coordination must have a certain degree of plausibility, meaning it must be possible and present an economic interest for the parent companies; – this coordination must have a significant effect on competition."</w:t>
      </w:r>
    </w:p>
    <w:p>
      <w:r>
        <w:t>143. Regarding the condition related to the causal link, paragraph 761 of the guidelines specifies that "[t]he causal link can be established if the activity of the joint venture is of essential importance for the markets in which its parent companies are active."</w:t>
      </w:r>
    </w:p>
    <w:p>
      <w:r>
        <w:t>144. In this case, the activity of operating self-service scooter services is not essential for the parent companies and the conduct of their activities.</w:t>
      </w:r>
    </w:p>
    <w:p>
      <w:r>
        <w:t>145. Indeed, the activities of operating self-service scooter services, and generally shared mobility, represent a marginal weight for the parties compared to their activities in the public passenger transport markets in Île-de-France and outside Île-de-France. According to the information provided by the notifying parties, Cityscoot's revenue represents approximately [0-5]% of RATP's French revenue and [0-5]% of Transdev's revenue. In this context, and since any conglomerate effect between activities related to public passenger transport and shared mobility activities has been previously ruled out, the operation is not likely to create coordination between CDC and RATP in the public passenger transport markets in Île-de-France.</w:t>
      </w:r>
    </w:p>
    <w:p>
      <w:r>
        <w:t>146. Furthermore, regarding the public passenger transport markets outside Île-de-France, the risk of coordination between the parent companies can be ruled out given the geographical location of the target's activities, which is exclusively present in Île-de-France. Additionally, in these markets, the parent companies face competition from significant operators such as Keolis or SNCF as well as local transport operators.</w:t>
      </w:r>
    </w:p>
    <w:p>
      <w:r>
        <w:t>147. Thus, the operation is not likely to harm competition through potential coordination between RATP and CDC across all public passenger transport markets.</w:t>
      </w:r>
    </w:p>
    <w:p>
      <w:r>
        <w:rPr>
          <w:b/>
        </w:rPr>
        <w:t>[Pages 31–31]</w:t>
      </w:r>
    </w:p>
    <w:p>
      <w:r>
        <w:t xml:space="preserve">DECISION  </w:t>
        <w:br/>
        <w:t xml:space="preserve">Sole Article: The operation notified under number 22-167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