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https://www.autoritedelaconcurrence.fr/fr/decision-de-controle-des-concentrations/relative-la-prise-de-controle-conjoint-de-la-societe-21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11-DCC-58 of April 5, 2011  </w:t>
        <w:br/>
        <w:t xml:space="preserve">regarding the joint control acquisition of the company Thevenod by the  </w:t>
        <w:br/>
        <w:t xml:space="preserve">companies SAS Automobile G Cuynet and SAS Sodefi  </w:t>
        <w:br/>
        <w:t xml:space="preserve">The Competition Authority,  </w:t>
        <w:br/>
        <w:t xml:space="preserve">Having regard to the complete notification file submitted to the mergers department on March 1, 2011,  </w:t>
        <w:br/>
        <w:t xml:space="preserve">concerning the joint control acquisition of the company Thevenod by the Cuynet and Sodefi groups,  </w:t>
        <w:br/>
        <w:t xml:space="preserve">formalized by a letter of intent [Confidential] dated January 27, 2011 [Confidential];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parties during the investigation;  </w:t>
        <w:br/>
        <w:t xml:space="preserve">Adopts the following decision:  </w:t>
        <w:br/>
        <w:t xml:space="preserve">1. The Sodefi group, exclusively controlled by the Deffeuille family, has as its main  </w:t>
        <w:br/>
        <w:t xml:space="preserve">activities the distribution and repair of motor vehicles of the brands Renault/Dacia,  </w:t>
        <w:br/>
        <w:t xml:space="preserve">Nissan, Opel, Kia, Fiat, Alfa Romeo, and Lancia in Jura, Haute-Saône, and Doubs. The  </w:t>
        <w:br/>
        <w:t xml:space="preserve">company SAS Automobile G Cuynet, exclusively controlled by the Cuynet family, distributes  </w:t>
        <w:br/>
        <w:t xml:space="preserve">motor vehicles of the Volkswagen brand in Jura.  </w:t>
        <w:br/>
        <w:t xml:space="preserve">2. The notified operation consists of the joint control acquisition of the company Thevenod, which  </w:t>
        <w:br/>
        <w:t xml:space="preserve">is engaged in the operation of a Volkswagen and Audi dealership in Lons-le-Saunier (Jura), by the  </w:t>
        <w:br/>
        <w:t xml:space="preserve">companies SAS Automobile G Cuynet and SAS Sodefi. It constitutes a  </w:t>
        <w:br/>
        <w:t xml:space="preserve">concentration operation within the meaning of Article L. 430-1 of the Commercial Code. Given  </w:t>
        <w:br/>
        <w:t xml:space="preserve">the turnover achieved by the companies concerned, the operation does not have a  </w:t>
        <w:br/>
        <w:t xml:space="preserve">community dimension. On the other hand, the retail trade control thresholds mentioned in point II of  </w:t>
        <w:br/>
        <w:t xml:space="preserve">Article L. 430-2 of the Commercial Code are exceeded. This  </w:t>
        <w:br/>
        <w:t xml:space="preserve">operation is therefore subject to the provisions of Articles L. 430-3 and following of the  </w:t>
        <w:br/>
        <w:t xml:space="preserve">Commercial Code relating to economic concentration.  </w:t>
        <w:br/>
        <w:t xml:space="preserve">3.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11-0037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