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https://www.autoritedelaconcurrence.fr/fr/decision-de-controle-des-concentrations/relative-la-prise-de-controle-conjoint-de-la-societe-210</w:t>
      </w:r>
    </w:p>
    <w:p>
      <w:r>
        <w:t>Pages translated : 2</w:t>
      </w:r>
    </w:p>
    <w:p/>
    <w:p>
      <w:r>
        <w:rPr>
          <w:b/>
        </w:rPr>
        <w:t>[Pages 1–2]</w:t>
      </w:r>
    </w:p>
    <w:p>
      <w:r>
        <w:t>FRENCH REPUBLIC</w:t>
        <w:br/>
        <w:t>Decision No. 23-DCC-170 of August 16, 2023</w:t>
        <w:br/>
        <w:t>regarding the joint control acquisition of the company Financière Et Commerciale de Charmes by the company MLG alongside the Association of E. Leclerc Distributor Centers</w:t>
        <w:br/>
        <w:t>The Competition Authority,</w:t>
        <w:br/>
        <w:t>Having regard to the complete notification file sent to the mergers department on July 19, 2023, concerning the joint control acquisition of the company Financière Et Commerciale de Charmes by the company MLG alongside the Association of E. Leclerc Distributor Centers, formalized by a share transfer agreement dated June 30, 2023;</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MLG and the Association of E. Leclerc Distributor Centers of the company Financière Et Commerciale de Charmes, which operates a retail business primarily focused on food in a hypermarket of 3,800 m² and a service station under the E.Leclerc brand located in Charmes (88).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23-200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