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https://www.autoritedelaconcurrence.fr/fr/decision-de-controle-des-concentrations/relative-la-prise-de-controle-conjoint-de-la-societe-212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23-DCC-182 of August 29, 2023  </w:t>
        <w:br/>
        <w:t xml:space="preserve">regarding the joint control acquisition of the company Calicia by the  </w:t>
        <w:br/>
        <w:t xml:space="preserve">company Fain d’Arol and ITM Entreprises  </w:t>
        <w:br/>
        <w:t xml:space="preserve">The Competition Authority,  </w:t>
        <w:br/>
        <w:t xml:space="preserve">Having regard to the complete notification file submitted to the mergers department on August 10, 2023,  </w:t>
        <w:br/>
        <w:t xml:space="preserve">concerning the joint control acquisition of the company Calicia by the company Fain d’Arol and ITM  </w:t>
        <w:br/>
        <w:t xml:space="preserve">Entreprises, formalized by the share transfer agreement of July 27,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Fain d’Arol and ITM  </w:t>
        <w:br/>
        <w:t xml:space="preserve">Entreprises of the company Calicia, which operates a retail business fund primarily focused on  </w:t>
        <w:br/>
        <w:t xml:space="preserve">food under the Intermarché brand located in Épinal (88). The operation constitutes a concentration operation within the meaning of Article L. 430-1 of the Commercial Code.  </w:t>
        <w:br/>
        <w:t xml:space="preserve">Considering the turnover achieved by the companies concerned, the operation does not fall under the jurisdiction of the European Union. On the other hand, the control thresholds related to  </w:t>
        <w:br/>
        <w:t xml:space="preserve">retail trade mentioned in II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23-225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