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https://www.autoritedelaconcurrence.fr/fr/decision-de-controle-des-concentrations/relative-la-prise-de-controle-conjoint-de-la-societe-213</w:t>
      </w:r>
    </w:p>
    <w:p>
      <w:r>
        <w:t>Pages translated : 2</w:t>
      </w:r>
    </w:p>
    <w:p/>
    <w:p>
      <w:r>
        <w:rPr>
          <w:b/>
        </w:rPr>
        <w:t>[Pages 1–2]</w:t>
      </w:r>
    </w:p>
    <w:p>
      <w:r>
        <w:t xml:space="preserve">FRENCH REPUBLIC  </w:t>
        <w:br/>
        <w:t xml:space="preserve">Decision No. 23-DCC-181 of September 1, 2023  </w:t>
        <w:br/>
        <w:t xml:space="preserve">regarding the joint control acquisition of the company Lamadis and  </w:t>
        <w:br/>
        <w:t xml:space="preserve">SCI Sumène by the Cooperative U Enseigne and Mr. Arnaud Saigre  </w:t>
        <w:br/>
        <w:t xml:space="preserve">The Competition Authority,  </w:t>
        <w:br/>
        <w:t xml:space="preserve">Having regard to the complete notification file submitted to the mergers department on August 16, 2023,  </w:t>
        <w:br/>
        <w:t xml:space="preserve">concerning the joint control acquisition of the company Lamadis and SCI Sumène, by the company  </w:t>
        <w:br/>
        <w:t xml:space="preserve">Expan U Sud, itself controlled by the Cooperative U Enseigne, and by Mr. Arnaud Saigre, through the company ASR Invest, formalized by the letter of intent dated July 12,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Cooperative U Enseigne and  </w:t>
        <w:br/>
        <w:t xml:space="preserve">Mr. Arnaud Saigre, of the company Lamadis whose purpose is the operation of a retail business predominantly selling food of the supermarket type under the Super U brand located in Lamastre (07), as well as of SCI Sumène which owns the premises in which Lamadis operates the Super U of Lamastre.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