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23-DCC-184 of September 6, 2023  </w:t>
        <w:br/>
        <w:t xml:space="preserve">regarding the joint control acquisition of the company Pr0ph3cy by the  </w:t>
        <w:br/>
        <w:t xml:space="preserve">companies The Carlyle Group and 48Invest  </w:t>
        <w:br/>
        <w:t xml:space="preserve">The Competition Authority,  </w:t>
        <w:br/>
        <w:t xml:space="preserve">Having regard to the complete notification file submitted to the mergers department on August 22, 2023,  </w:t>
        <w:br/>
        <w:t xml:space="preserve">concerning the joint control acquisition of the company Pr0ph3cy by the companies The Carlyle Group  </w:t>
        <w:br/>
        <w:t xml:space="preserve">and 48Invest, formalized by a unilateral purchase promise dated June 30,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Pr0ph3cy by the  </w:t>
        <w:br/>
        <w:t xml:space="preserve">companies The Carlyle Group and 48Invest via the company Sentries Holding. The target is active in  </w:t>
        <w:br/>
        <w:t xml:space="preserve">the information technology services sector.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23-205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