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23-DCC-223 of November 16, 2023  </w:t>
        <w:br/>
        <w:t xml:space="preserve">regarding the joint control acquisition of the company Frankavir by the  </w:t>
        <w:br/>
        <w:t xml:space="preserve">companies Tribu and ITM Entreprises  </w:t>
        <w:br/>
        <w:t xml:space="preserve">The Competition Authority,  </w:t>
        <w:br/>
        <w:t xml:space="preserve">Having regard to the notification file sent to the mergers department on October 19, 2023, declared  </w:t>
        <w:br/>
        <w:t xml:space="preserve">complete on October 31, 2023, concerning the joint control acquisition of the company Frankavir by the  </w:t>
        <w:br/>
        <w:t xml:space="preserve">companies Tribu and ITM Entreprises, formalized by a framework agreement dated September 29,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Tribu and  </w:t>
        <w:br/>
        <w:t xml:space="preserve">ITM Entreprises of the company Frankavir, which operates a retail business predominantly in food of the hypermarket type with a surface area of 3,500 m² located in Gex (01).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related to  </w:t>
        <w:br/>
        <w:t xml:space="preserve">retail trade mentioned in II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23-266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