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https://www.autoritedelaconcurrence.fr/fr/decision-de-controle-des-concentrations/relative-la-prise-de-controle-conjoint-de-la-societe-226</w:t>
      </w:r>
    </w:p>
    <w:p>
      <w:r>
        <w:t>Pages translated : 2</w:t>
      </w:r>
    </w:p>
    <w:p/>
    <w:p>
      <w:r>
        <w:rPr>
          <w:b/>
        </w:rPr>
        <w:t>[Pages 1–2]</w:t>
      </w:r>
    </w:p>
    <w:p>
      <w:r>
        <w:t xml:space="preserve">FRENCH REPUBLIC  </w:t>
        <w:br/>
        <w:t xml:space="preserve">Decision No. 24-DCC-60 of April 4, 2024  </w:t>
        <w:br/>
        <w:t xml:space="preserve">regarding the joint control acquisition of the company Greece 12 by the  </w:t>
        <w:br/>
        <w:t xml:space="preserve">companies Anasi and ITM Entreprises  </w:t>
        <w:br/>
        <w:t>The Competition Authority,</w:t>
      </w:r>
    </w:p>
    <w:p>
      <w:r>
        <w:t xml:space="preserve">Having regard to the complete notification file sent to the mergers department on March 19, 2024,  </w:t>
        <w:br/>
        <w:t xml:space="preserve">concerning the joint control acquisition of the company Greece 12 by the companies Anasi and  </w:t>
        <w:br/>
        <w:t>ITM Entreprises, formalized by a letter of intent dated March 12, 2024;</w:t>
      </w:r>
    </w:p>
    <w:p>
      <w:r>
        <w:t xml:space="preserve">Having regard to Book IV of the Commercial Code relating to the freedom of prices and competition, and  </w:t>
        <w:br/>
        <w:t>notably its Articles L. 430-1 to L. 430-7;</w:t>
      </w:r>
    </w:p>
    <w:p>
      <w:r>
        <w:t xml:space="preserve">Adopts the following decision:  </w:t>
        <w:br/>
        <w:t xml:space="preserve">1. The notified operation consists of the joint control acquisition by the companies Anasi and  </w:t>
        <w:br/>
        <w:t xml:space="preserve">ITM Entreprises of the company Greece 12, which operates a retail outlet with a dominant  </w:t>
        <w:br/>
        <w:t xml:space="preserve">food focus of 7,260 m2, under the Intermarché brand and located in Chalon-sur-Saône (71). It constitutes a concentration operation within the meaning of Article L. 430-1 of the Commercial Code. Given the turnover achieved by the companies involved,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24-080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