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https://www.autoritedelaconcurrence.fr/fr/decision-de-controle-des-concentrations/relative-la-prise-de-controle-conjoint-de-la-societe-228</w:t>
      </w:r>
    </w:p>
    <w:p>
      <w:r>
        <w:t>Pages translated : 2</w:t>
      </w:r>
    </w:p>
    <w:p/>
    <w:p>
      <w:r>
        <w:rPr>
          <w:b/>
        </w:rPr>
        <w:t>[Pages 1–2]</w:t>
      </w:r>
    </w:p>
    <w:p>
      <w:r>
        <w:t>FRENCH REPUBLIC</w:t>
        <w:br/>
        <w:t>Decision No. 24-DCC-69 of April 17, 2024</w:t>
        <w:br/>
        <w:t>regarding the joint control acquisition of the company Sogelpi by the</w:t>
        <w:br/>
        <w:t>companies Juripard and ITM Entreprises</w:t>
        <w:br/>
        <w:t>The Competition Authority,</w:t>
        <w:br/>
        <w:t>Having regard to the complete notification file submitted to the mergers department on April 2, 2024,</w:t>
        <w:br/>
        <w:t>concerning the joint control acquisition of the company Sogelpi by the companies Juripard and ITM</w:t>
        <w:br/>
        <w:t>Entreprises, formalized by the signing of a share transfer agreement on</w:t>
        <w:br/>
        <w:t>February 29, 2024.</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Juripard and ITM</w:t>
        <w:br/>
        <w:t>Entreprises of the company Sogelpi, which operates a food distribution business of the hypermarket type with a surface area of 2,550 m2 in Saint-Bonnet-de-Mure (69). It constitutes a concentration operation within the meaning of Article L. 430-1 of the Commercial Code.</w:t>
        <w:br/>
        <w:t>Given the turnover achieved by the companies concerned, the operation does not fall under the jurisdiction of the European Union. On the other hand, the retail control thresholds mentioned in II of Article L. 430-2 of the Commercial Code are exceeded.</w:t>
        <w:br/>
        <w:t>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24-086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