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https://www.autoritedelaconcurrence.fr/fr/decision-de-controle-des-concentrations/relative-la-prise-de-controle-conjoint-de-la-societe-236</w:t>
      </w:r>
    </w:p>
    <w:p>
      <w:r>
        <w:t>Pages translated : 2</w:t>
      </w:r>
    </w:p>
    <w:p/>
    <w:p>
      <w:r>
        <w:rPr>
          <w:b/>
        </w:rPr>
        <w:t>[Pages 1–2]</w:t>
      </w:r>
    </w:p>
    <w:p>
      <w:r>
        <w:t xml:space="preserve">FRENCH REPUBLIC  </w:t>
        <w:br/>
        <w:t xml:space="preserve">Decision No. 24-DCC-87 of May 7, 2024  </w:t>
        <w:br/>
        <w:t xml:space="preserve">regarding the joint control acquisition of the company Greece 36 by the  </w:t>
        <w:br/>
        <w:t xml:space="preserve">companies Apicius and ITM Entreprises  </w:t>
        <w:br/>
        <w:t xml:space="preserve">The Competition Authority,  </w:t>
        <w:br/>
        <w:t xml:space="preserve">Having regard to the complete notification file submitted to the mergers department on April 19, 2024,  </w:t>
        <w:br/>
        <w:t xml:space="preserve">concerning the joint control acquisition of the company Greece 36 by the companies Apicius and  </w:t>
        <w:br/>
        <w:t xml:space="preserve">ITM Entreprises, formalized by a letter of intent dated April 16,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Apicius and  </w:t>
        <w:br/>
        <w:t xml:space="preserve">ITM Entreprises of the company Greece 36, which operates a retail outlet primarily selling  </w:t>
        <w:br/>
        <w:t xml:space="preserve">food of 5,282 m2 under the Intermarché brand located in Limoges (87). It constitutes a concentration operation within the meaning of Article L. 430-1 of the  </w:t>
        <w:br/>
        <w:t xml:space="preserve">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w:t>
        <w:br/>
        <w:t xml:space="preserve">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24-105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