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https://www.autoritedelaconcurrence.fr/fr/decision-de-controle-des-concentrations/relative-la-prise-de-controle-conjoint-de-la-societe-237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24-DCC-92 of May 14, 2024  </w:t>
        <w:br/>
        <w:t xml:space="preserve">regarding the joint control acquisition of the company Greece 42 by the  </w:t>
        <w:br/>
        <w:t xml:space="preserve">Letocart group and ITM Entreprises  </w:t>
        <w:br/>
        <w:t xml:space="preserve">The Competition Authority,  </w:t>
        <w:br/>
        <w:t xml:space="preserve">Having regard to the complete notification file sent to the mergers department on April 24, 2024,  </w:t>
        <w:br/>
        <w:t xml:space="preserve">regarding the joint control acquisition of the company Greece 42 by the Letocart group and  </w:t>
        <w:br/>
        <w:t xml:space="preserve">ITM Entreprises, formalized by a letter of intent dated April 3,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Letocart group, via the  </w:t>
        <w:br/>
        <w:t xml:space="preserve">company Marithe, and the company ITM Entreprises of the company Greece 42, which operates  </w:t>
        <w:br/>
        <w:t xml:space="preserve">a predominantly food retail point of sale of hypermarket type with an area of 5,022 m², under the  </w:t>
        <w:br/>
        <w:t xml:space="preserve">Intermarché brand, located in Millau (12).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retail control thresholds mentioned in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24-112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