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https://www.autoritedelaconcurrence.fr/fr/decision-de-controle-des-concentrations/relative-la-prise-de-controle-conjoint-de-la-societe-238</w:t>
      </w:r>
    </w:p>
    <w:p>
      <w:r>
        <w:t>Pages translated : 2</w:t>
      </w:r>
    </w:p>
    <w:p/>
    <w:p>
      <w:r>
        <w:rPr>
          <w:b/>
        </w:rPr>
        <w:t>[Pages 1–2]</w:t>
      </w:r>
    </w:p>
    <w:p>
      <w:r>
        <w:t>FRENCH REPUBLIC</w:t>
        <w:br/>
        <w:t>Decision No. 24-DCC-102 of May 16, 2024</w:t>
        <w:br/>
        <w:t>regarding the joint control acquisition of the company Nivana by the</w:t>
        <w:br/>
        <w:t>companies Fleteg and ITM Entreprises</w:t>
        <w:br/>
        <w:t>The Competition Authority,</w:t>
        <w:br/>
        <w:t>Having regard to the complete notification file submitted to the mergers department on April 25, 2024,</w:t>
        <w:br/>
        <w:t>concerning the joint control acquisition of the company Nivana by the companies Fleteg and ITM</w:t>
        <w:br/>
        <w:t>Entreprises, formalized by a letter of intent dated March 29, 2024;</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companies Fleteg and ITM</w:t>
        <w:br/>
        <w:t>Entreprises, of the company Nivana, which operates a food distribution business of the supermarket type under the Intermarché brand with a surface area of 2,496 m² located in Baud (56). It constitutes a concentration operation within the meaning of Article L. 430-1 of the Commercial Code. Given the turnover achieved by the companies concerned, the operation does not fall under the jurisdiction of the European Union. On the other hand, the control thresholds related to retail trade mentioned in II of Article L. 430-2 of the Commercial Code are exceeded. The present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24-115 is authorized.</w:t>
        <w:br/>
        <w:t>The Vice-President,</w:t>
        <w:br/>
        <w:t>Irène Luc</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