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https://www.autoritedelaconcurrence.fr/fr/decision-de-controle-des-concentrations/relative-la-prise-de-controle-conjoint-de-la-societe-24</w:t>
      </w:r>
    </w:p>
    <w:p>
      <w:r>
        <w:t>Pages translated : 2</w:t>
      </w:r>
    </w:p>
    <w:p/>
    <w:p>
      <w:r>
        <w:rPr>
          <w:b/>
        </w:rPr>
        <w:t>[Pages 1–2]</w:t>
      </w:r>
    </w:p>
    <w:p>
      <w:r>
        <w:t xml:space="preserve">FRENCH REPUBLIC  </w:t>
        <w:br/>
        <w:t xml:space="preserve">Decision No. 11-DCC-83 of May 24, 2011  </w:t>
        <w:br/>
        <w:t xml:space="preserve">regarding the joint control acquisition of the company Montbard Distribution SAS by Mr. and Mrs. Regnault with the company ITM Entreprises  </w:t>
        <w:br/>
        <w:t xml:space="preserve">The Competition Authority,  </w:t>
        <w:br/>
        <w:t xml:space="preserve">Having regard to the complete notification file submitted to the mergers department on May 2, 2011, concerning the acquisition of control of the company Montbard Distribution SAS by Mr. and Mrs. Regnault, jointly with the company ITM Entreprises, formalized by an agreement dated February 15, 2011;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of control of the company Montbard Distribution SAS operating two supermarkets under the Intermarché and Netto brands in Montbard (21) by Mr. and Mrs. Regnault, jointly with the company ITM Entreprises, and constitutes a concentration operation within the meaning of Article L. 430-1 of the Commercial Code. Given the turnover achieved by the companies concerned,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11-0085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