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https://www.autoritedelaconcurrence.fr/fr/decision-de-controle-des-concentrations/relative-la-prise-de-controle-conjoint-de-la-societe-243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24-DCC-175 of July 24, 2024  </w:t>
        <w:br/>
        <w:t xml:space="preserve">regarding the joint control acquisition of the company Badelle by the  </w:t>
        <w:br/>
        <w:t xml:space="preserve">company Dac alongside the company ITM Entreprises  </w:t>
        <w:br/>
        <w:t>The Competition Authority,</w:t>
      </w:r>
    </w:p>
    <w:p>
      <w:r>
        <w:t xml:space="preserve">Having regard to the complete notification file submitted to the mergers department on July 8, 2024,  </w:t>
        <w:br/>
        <w:t xml:space="preserve">concerning the joint control acquisition of the company Badelle by the company Dac alongside the  </w:t>
        <w:br/>
        <w:t>company ITM Entreprises, formalized by a letter of intent countersigned on April 23, 2024;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acquisition by the company DAC, a family holding of the Decross  </w:t>
        <w:br/>
        <w:t xml:space="preserve">consorts, of the majority of the shares of the company Badelle, with the company ITM Entreprises retaining  </w:t>
        <w:br/>
        <w:t xml:space="preserve">34% in bare ownership. The company Badelle operates a retail business primarily focused on food under the  </w:t>
        <w:br/>
        <w:t xml:space="preserve">Intermarché brand, with an area of 1,950 m², in Noyelles-sous-Lens (62). The operation constitutes a concentration  </w:t>
        <w:br/>
        <w:t xml:space="preserve">within the meaning of Article L. 430-1 of the Commercial Code. Given the revenues generated by the companies  </w:t>
        <w:br/>
        <w:t xml:space="preserve">involved, the operation does not fall under the jurisdiction of the European Union. However, the control thresholds  </w:t>
        <w:br/>
        <w:t xml:space="preserve">mentioned in II of 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24-183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